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leftChars="0" w:firstLine="0" w:firstLineChars="0"/>
        <w:rPr>
          <w:rFonts w:hint="default" w:ascii="Times New Roman" w:hAnsi="Times New Roman" w:cs="Times New Roman"/>
          <w:lang w:val="en-US" w:eastAsia="zh-CN"/>
        </w:rPr>
      </w:pPr>
      <w:bookmarkStart w:id="0" w:name="_GoBack"/>
      <w:r>
        <w:rPr>
          <w:rFonts w:hint="default" w:ascii="Times New Roman" w:hAnsi="Times New Roman" w:cs="Times New Roman"/>
          <w:lang w:eastAsia="zh-CN"/>
        </w:rPr>
        <w:t>附件</w:t>
      </w:r>
      <w:r>
        <w:rPr>
          <w:rFonts w:hint="default" w:ascii="Times New Roman" w:hAnsi="Times New Roman" w:cs="Times New Roman"/>
          <w:lang w:val="en-US" w:eastAsia="zh-CN"/>
        </w:rPr>
        <w:t>2</w:t>
      </w:r>
    </w:p>
    <w:bookmarkEnd w:id="0"/>
    <w:p>
      <w:pPr>
        <w:spacing w:line="640" w:lineRule="exact"/>
        <w:ind w:right="34" w:rightChars="16" w:firstLine="1478" w:firstLineChars="400"/>
        <w:jc w:val="both"/>
        <w:rPr>
          <w:rFonts w:ascii="方正小标宋简体" w:hAnsi="华文中宋" w:eastAsia="方正小标宋简体" w:cs="宋体"/>
          <w:b/>
          <w:w w:val="92"/>
          <w:kern w:val="0"/>
          <w:sz w:val="40"/>
          <w:szCs w:val="40"/>
        </w:rPr>
      </w:pPr>
      <w:r>
        <w:rPr>
          <w:rFonts w:hint="eastAsia" w:ascii="方正小标宋简体" w:hAnsi="华文中宋" w:eastAsia="方正小标宋简体" w:cs="宋体"/>
          <w:b/>
          <w:w w:val="92"/>
          <w:kern w:val="0"/>
          <w:sz w:val="40"/>
          <w:szCs w:val="40"/>
        </w:rPr>
        <w:t>医疗器械使用质量监管现场检查指南</w:t>
      </w:r>
    </w:p>
    <w:p>
      <w:pPr>
        <w:spacing w:line="460" w:lineRule="exact"/>
        <w:ind w:left="-4" w:leftChars="-2" w:right="31" w:rightChars="15" w:firstLine="514" w:firstLineChars="200"/>
        <w:jc w:val="left"/>
        <w:rPr>
          <w:rFonts w:ascii="仿宋" w:hAnsi="仿宋" w:eastAsia="仿宋" w:cs="仿宋"/>
          <w:bCs/>
          <w:w w:val="92"/>
          <w:kern w:val="0"/>
          <w:sz w:val="28"/>
          <w:szCs w:val="28"/>
        </w:rPr>
      </w:pPr>
    </w:p>
    <w:p>
      <w:pPr>
        <w:spacing w:line="420" w:lineRule="exact"/>
        <w:ind w:left="-2" w:leftChars="-1" w:right="31" w:rightChars="15" w:firstLine="640" w:firstLineChars="200"/>
        <w:jc w:val="left"/>
        <w:rPr>
          <w:rFonts w:ascii="仿宋" w:hAnsi="仿宋" w:eastAsia="仿宋" w:cs="仿宋"/>
          <w:bCs/>
          <w:kern w:val="0"/>
          <w:sz w:val="32"/>
          <w:szCs w:val="32"/>
        </w:rPr>
      </w:pPr>
      <w:r>
        <w:rPr>
          <w:rFonts w:hint="eastAsia" w:ascii="仿宋" w:hAnsi="仿宋" w:eastAsia="仿宋" w:cs="仿宋"/>
          <w:bCs/>
          <w:kern w:val="0"/>
          <w:sz w:val="32"/>
          <w:szCs w:val="32"/>
        </w:rPr>
        <w:t>根据《医疗器械监督管理条例》《医疗器械使用质量管理办法》《医疗器械经营和使用环节监管工作手册（试行）》等要求制定本检查指南，用于指导医疗器械使用质量监管现场检查工作。</w:t>
      </w:r>
    </w:p>
    <w:tbl>
      <w:tblPr>
        <w:tblStyle w:val="8"/>
        <w:tblpPr w:leftFromText="180" w:rightFromText="180" w:vertAnchor="text" w:horzAnchor="page" w:tblpX="1029" w:tblpY="494"/>
        <w:tblOverlap w:val="never"/>
        <w:tblW w:w="101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693"/>
        <w:gridCol w:w="673"/>
        <w:gridCol w:w="4682"/>
        <w:gridCol w:w="40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580" w:hRule="atLeast"/>
        </w:trPr>
        <w:tc>
          <w:tcPr>
            <w:tcW w:w="693" w:type="dxa"/>
            <w:shd w:val="clear" w:color="auto" w:fill="FFFFFF"/>
            <w:vAlign w:val="center"/>
          </w:tcPr>
          <w:p>
            <w:pPr>
              <w:pStyle w:val="12"/>
              <w:spacing w:line="360" w:lineRule="exact"/>
              <w:jc w:val="center"/>
              <w:rPr>
                <w:rFonts w:ascii="Times New Roman" w:hAnsi="Times New Roman" w:cs="Times New Roman"/>
                <w:b/>
                <w:bCs/>
                <w:color w:val="auto"/>
                <w:sz w:val="28"/>
                <w:szCs w:val="28"/>
              </w:rPr>
            </w:pPr>
            <w:r>
              <w:rPr>
                <w:rFonts w:hint="eastAsia" w:ascii="Times New Roman" w:hAnsi="Times New Roman" w:cs="Times New Roman"/>
                <w:b/>
                <w:bCs/>
                <w:color w:val="auto"/>
                <w:sz w:val="28"/>
                <w:szCs w:val="28"/>
              </w:rPr>
              <w:t>项目</w:t>
            </w:r>
          </w:p>
        </w:tc>
        <w:tc>
          <w:tcPr>
            <w:tcW w:w="673" w:type="dxa"/>
            <w:shd w:val="clear" w:color="auto" w:fill="FFFFFF"/>
            <w:vAlign w:val="center"/>
          </w:tcPr>
          <w:p>
            <w:pPr>
              <w:pStyle w:val="12"/>
              <w:spacing w:line="360" w:lineRule="exact"/>
              <w:jc w:val="center"/>
              <w:rPr>
                <w:rFonts w:ascii="Times New Roman" w:hAnsi="Times New Roman" w:cs="Times New Roman"/>
                <w:b/>
                <w:bCs/>
                <w:color w:val="auto"/>
                <w:sz w:val="28"/>
                <w:szCs w:val="28"/>
              </w:rPr>
            </w:pPr>
            <w:r>
              <w:rPr>
                <w:rFonts w:hint="eastAsia" w:ascii="Times New Roman" w:hAnsi="Times New Roman" w:cs="Times New Roman"/>
                <w:b/>
                <w:bCs/>
                <w:color w:val="auto"/>
                <w:sz w:val="28"/>
                <w:szCs w:val="28"/>
              </w:rPr>
              <w:t>序号</w:t>
            </w:r>
          </w:p>
        </w:tc>
        <w:tc>
          <w:tcPr>
            <w:tcW w:w="4682" w:type="dxa"/>
            <w:tcBorders>
              <w:right w:val="single" w:color="auto" w:sz="4" w:space="0"/>
            </w:tcBorders>
            <w:vAlign w:val="center"/>
          </w:tcPr>
          <w:p>
            <w:pPr>
              <w:pStyle w:val="12"/>
              <w:spacing w:line="360" w:lineRule="exact"/>
              <w:ind w:firstLine="562" w:firstLineChars="200"/>
              <w:jc w:val="center"/>
              <w:rPr>
                <w:rFonts w:ascii="Times New Roman" w:hAnsi="Times New Roman" w:cs="Times New Roman"/>
                <w:b/>
                <w:bCs/>
                <w:color w:val="auto"/>
                <w:sz w:val="28"/>
                <w:szCs w:val="28"/>
              </w:rPr>
            </w:pPr>
            <w:r>
              <w:rPr>
                <w:rFonts w:hint="eastAsia" w:ascii="Times New Roman" w:hAnsi="Times New Roman" w:cs="Times New Roman"/>
                <w:b/>
                <w:bCs/>
                <w:color w:val="auto"/>
                <w:sz w:val="28"/>
                <w:szCs w:val="28"/>
              </w:rPr>
              <w:t>检查</w:t>
            </w:r>
            <w:r>
              <w:rPr>
                <w:rFonts w:ascii="Times New Roman" w:hAnsi="Times New Roman" w:cs="Times New Roman"/>
                <w:b/>
                <w:bCs/>
                <w:color w:val="auto"/>
                <w:sz w:val="28"/>
                <w:szCs w:val="28"/>
              </w:rPr>
              <w:t>内容</w:t>
            </w:r>
          </w:p>
        </w:tc>
        <w:tc>
          <w:tcPr>
            <w:tcW w:w="4066" w:type="dxa"/>
            <w:tcBorders>
              <w:left w:val="single" w:color="auto" w:sz="4" w:space="0"/>
            </w:tcBorders>
            <w:vAlign w:val="center"/>
          </w:tcPr>
          <w:p>
            <w:pPr>
              <w:pStyle w:val="12"/>
              <w:spacing w:line="360" w:lineRule="exact"/>
              <w:ind w:firstLine="562" w:firstLineChars="200"/>
              <w:jc w:val="center"/>
              <w:rPr>
                <w:rFonts w:ascii="Times New Roman" w:hAnsi="Times New Roman" w:cs="Times New Roman"/>
                <w:b/>
                <w:bCs/>
                <w:color w:val="auto"/>
                <w:sz w:val="28"/>
                <w:szCs w:val="28"/>
              </w:rPr>
            </w:pPr>
            <w:r>
              <w:rPr>
                <w:rFonts w:hint="eastAsia" w:ascii="Times New Roman" w:hAnsi="Times New Roman" w:cs="Times New Roman"/>
                <w:b/>
                <w:bCs/>
                <w:color w:val="auto"/>
                <w:sz w:val="28"/>
                <w:szCs w:val="28"/>
              </w:rPr>
              <w:t>检查方法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100" w:hRule="atLeast"/>
        </w:trPr>
        <w:tc>
          <w:tcPr>
            <w:tcW w:w="693" w:type="dxa"/>
            <w:vMerge w:val="restart"/>
            <w:vAlign w:val="center"/>
          </w:tcPr>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rPr>
                <w:rFonts w:ascii="Times New Roman" w:hAnsi="Times New Roman" w:cs="Times New Roman"/>
                <w:b/>
                <w:bCs/>
                <w:color w:val="auto"/>
                <w:sz w:val="22"/>
                <w:szCs w:val="22"/>
              </w:rPr>
            </w:pPr>
            <w:r>
              <w:rPr>
                <w:rFonts w:hint="eastAsia" w:ascii="Times New Roman" w:hAnsi="Times New Roman" w:cs="Times New Roman"/>
                <w:b/>
                <w:bCs/>
                <w:color w:val="auto"/>
                <w:sz w:val="22"/>
                <w:szCs w:val="22"/>
              </w:rPr>
              <w:t>机构人员与职责制度</w:t>
            </w: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tc>
        <w:tc>
          <w:tcPr>
            <w:tcW w:w="673" w:type="dxa"/>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rPr>
              <w:t>※</w:t>
            </w:r>
            <w:r>
              <w:rPr>
                <w:rFonts w:hint="eastAsia" w:ascii="Times New Roman" w:hAnsi="Times New Roman" w:cs="Times New Roman"/>
                <w:color w:val="auto"/>
                <w:sz w:val="22"/>
                <w:szCs w:val="22"/>
              </w:rPr>
              <w:t>1</w:t>
            </w:r>
          </w:p>
        </w:tc>
        <w:tc>
          <w:tcPr>
            <w:tcW w:w="4682" w:type="dxa"/>
            <w:tcBorders>
              <w:right w:val="single" w:color="auto" w:sz="4" w:space="0"/>
            </w:tcBorders>
            <w:shd w:val="clear" w:color="auto" w:fill="FFFFFF"/>
          </w:tcPr>
          <w:p>
            <w:pPr>
              <w:pStyle w:val="12"/>
              <w:spacing w:line="360" w:lineRule="exact"/>
              <w:ind w:firstLine="440" w:firstLineChars="200"/>
              <w:rPr>
                <w:rFonts w:hint="eastAsia" w:ascii="ˎ̥" w:hAnsi="ˎ̥" w:cs="Arial"/>
                <w:color w:val="auto"/>
                <w:sz w:val="22"/>
                <w:szCs w:val="22"/>
              </w:rPr>
            </w:pPr>
            <w:r>
              <w:rPr>
                <w:rFonts w:hint="eastAsia" w:ascii="ˎ̥" w:hAnsi="ˎ̥" w:cs="Arial"/>
                <w:color w:val="auto"/>
                <w:sz w:val="22"/>
                <w:szCs w:val="22"/>
              </w:rPr>
              <w:t>应当</w:t>
            </w:r>
            <w:r>
              <w:rPr>
                <w:rFonts w:ascii="ˎ̥" w:hAnsi="ˎ̥" w:cs="Arial"/>
                <w:color w:val="auto"/>
                <w:sz w:val="22"/>
                <w:szCs w:val="22"/>
              </w:rPr>
              <w:t>按照</w:t>
            </w:r>
            <w:r>
              <w:rPr>
                <w:rFonts w:hint="eastAsia" w:ascii="ˎ̥" w:hAnsi="ˎ̥" w:cs="Arial"/>
                <w:color w:val="auto"/>
                <w:sz w:val="22"/>
                <w:szCs w:val="22"/>
              </w:rPr>
              <w:t>《医疗器械使用质量监督管理办法》</w:t>
            </w:r>
            <w:r>
              <w:rPr>
                <w:rFonts w:ascii="ˎ̥" w:hAnsi="ˎ̥" w:cs="Arial"/>
                <w:color w:val="auto"/>
                <w:sz w:val="22"/>
                <w:szCs w:val="22"/>
              </w:rPr>
              <w:t>，配备与其规模相适应的医疗器械质量管理机构或者质量管理人员。</w:t>
            </w:r>
            <w:r>
              <w:rPr>
                <w:rFonts w:hint="eastAsia" w:ascii="ˎ̥" w:hAnsi="ˎ̥" w:cs="Arial"/>
                <w:color w:val="auto"/>
                <w:sz w:val="22"/>
                <w:szCs w:val="22"/>
              </w:rPr>
              <w:t>二级以上医院应当设立医疗器械质量管理机构，其他使用单位应结合实际情况建立或指定专门医疗器械使用质量管理组织或指定专人负责医疗器械使用质量管理和监督。</w:t>
            </w:r>
          </w:p>
          <w:p>
            <w:pPr>
              <w:pStyle w:val="12"/>
              <w:spacing w:line="360" w:lineRule="exact"/>
              <w:ind w:firstLine="442" w:firstLineChars="200"/>
              <w:rPr>
                <w:rFonts w:ascii="Times New Roman" w:hAnsi="Times New Roman" w:eastAsia="黑体" w:cs="Times New Roman"/>
                <w:b/>
                <w:iCs/>
                <w:color w:val="auto"/>
                <w:sz w:val="22"/>
                <w:szCs w:val="22"/>
              </w:rPr>
            </w:pPr>
          </w:p>
        </w:tc>
        <w:tc>
          <w:tcPr>
            <w:tcW w:w="4066" w:type="dxa"/>
            <w:tcBorders>
              <w:lef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ˎ̥" w:hAnsi="ˎ̥" w:cs="Arial"/>
                <w:color w:val="auto"/>
                <w:sz w:val="22"/>
                <w:szCs w:val="22"/>
              </w:rPr>
              <w:t>设立医疗器械质量管理机构的，重点查看部门职责规定、负责人任命文件；无质量管理机构的，查看质量管理人员职责规定、任命文件。确认文件是否明确质量管理机构或者质量管理人员对医疗器械质量相关事宜有决策的权利并承担相应质量管理责任。现场询问机构负责人或质量管理人员是否熟悉医疗器械使用质量监督管理的法律法规。查看机构负责人或质量管理人员在质量管理工作中履行职责的相关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623"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2</w:t>
            </w:r>
          </w:p>
        </w:tc>
        <w:tc>
          <w:tcPr>
            <w:tcW w:w="4682" w:type="dxa"/>
            <w:tcBorders>
              <w:right w:val="single" w:color="auto" w:sz="4" w:space="0"/>
            </w:tcBorders>
            <w:shd w:val="clear" w:color="auto" w:fill="FFFFFF"/>
          </w:tcPr>
          <w:p>
            <w:pPr>
              <w:pStyle w:val="12"/>
              <w:spacing w:line="360" w:lineRule="exact"/>
              <w:ind w:firstLine="440" w:firstLineChars="200"/>
              <w:rPr>
                <w:rFonts w:hint="eastAsia" w:ascii="ˎ̥" w:hAnsi="ˎ̥" w:cs="Arial"/>
                <w:color w:val="auto"/>
                <w:sz w:val="22"/>
                <w:szCs w:val="22"/>
              </w:rPr>
            </w:pPr>
            <w:r>
              <w:rPr>
                <w:rFonts w:hint="eastAsia" w:ascii="ˎ̥" w:hAnsi="ˎ̥" w:cs="Arial"/>
                <w:color w:val="auto"/>
                <w:sz w:val="22"/>
                <w:szCs w:val="22"/>
              </w:rPr>
              <w:t>应当</w:t>
            </w:r>
            <w:r>
              <w:rPr>
                <w:rFonts w:ascii="ˎ̥" w:hAnsi="ˎ̥" w:cs="Arial"/>
                <w:color w:val="auto"/>
                <w:sz w:val="22"/>
                <w:szCs w:val="22"/>
              </w:rPr>
              <w:t>建立覆盖质量管理全过程的使用质量管理制度</w:t>
            </w:r>
            <w:r>
              <w:rPr>
                <w:rFonts w:hint="eastAsia" w:ascii="ˎ̥" w:hAnsi="ˎ̥" w:cs="Arial"/>
                <w:color w:val="auto"/>
                <w:sz w:val="22"/>
                <w:szCs w:val="22"/>
              </w:rPr>
              <w:t>或规定</w:t>
            </w:r>
            <w:r>
              <w:rPr>
                <w:rFonts w:ascii="ˎ̥" w:hAnsi="ˎ̥" w:cs="Arial"/>
                <w:color w:val="auto"/>
                <w:sz w:val="22"/>
                <w:szCs w:val="22"/>
              </w:rPr>
              <w:t>，</w:t>
            </w:r>
            <w:r>
              <w:rPr>
                <w:rFonts w:hint="eastAsia" w:ascii="ˎ̥" w:hAnsi="ˎ̥" w:cs="Arial"/>
                <w:color w:val="auto"/>
                <w:sz w:val="22"/>
                <w:szCs w:val="22"/>
              </w:rPr>
              <w:t>并保存相关记录或者档案。</w:t>
            </w:r>
          </w:p>
        </w:tc>
        <w:tc>
          <w:tcPr>
            <w:tcW w:w="4066" w:type="dxa"/>
            <w:tcBorders>
              <w:left w:val="single" w:color="auto" w:sz="4" w:space="0"/>
            </w:tcBorders>
            <w:shd w:val="clear" w:color="auto" w:fill="FFFFFF"/>
          </w:tcPr>
          <w:p>
            <w:pPr>
              <w:pStyle w:val="12"/>
              <w:spacing w:line="360" w:lineRule="exact"/>
              <w:ind w:firstLine="440" w:firstLineChars="200"/>
              <w:rPr>
                <w:rFonts w:hint="eastAsia" w:ascii="ˎ̥" w:hAnsi="ˎ̥" w:cs="Arial"/>
                <w:color w:val="auto"/>
                <w:sz w:val="22"/>
                <w:szCs w:val="22"/>
              </w:rPr>
            </w:pPr>
            <w:r>
              <w:rPr>
                <w:rFonts w:hint="eastAsia" w:ascii="ˎ̥" w:hAnsi="ˎ̥" w:cs="Arial"/>
                <w:color w:val="auto"/>
                <w:sz w:val="22"/>
                <w:szCs w:val="22"/>
              </w:rPr>
              <w:t>查看质量管理制度或规定、记录或档案，确认其内容是否覆盖质量管理全过程。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914" w:hRule="atLeast"/>
        </w:trPr>
        <w:tc>
          <w:tcPr>
            <w:tcW w:w="693" w:type="dxa"/>
            <w:vMerge w:val="continue"/>
            <w:tcBorders>
              <w:bottom w:val="single" w:color="auto" w:sz="4" w:space="0"/>
            </w:tcBorders>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3</w:t>
            </w:r>
          </w:p>
        </w:tc>
        <w:tc>
          <w:tcPr>
            <w:tcW w:w="4682" w:type="dxa"/>
            <w:tcBorders>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ˎ̥" w:hAnsi="ˎ̥" w:cs="Arial"/>
                <w:color w:val="auto"/>
                <w:sz w:val="22"/>
                <w:szCs w:val="22"/>
              </w:rPr>
              <w:t>应当建立医疗器械质量管理培训制度，对医务人员进行医疗器械监管法律法规、规章和质量管理制度、操作规程或相关文件规定等的培训。</w:t>
            </w:r>
          </w:p>
        </w:tc>
        <w:tc>
          <w:tcPr>
            <w:tcW w:w="4066" w:type="dxa"/>
            <w:tcBorders>
              <w:left w:val="single" w:color="auto" w:sz="4" w:space="0"/>
              <w:bottom w:val="single" w:color="auto" w:sz="4" w:space="0"/>
            </w:tcBorders>
            <w:shd w:val="clear" w:color="auto" w:fill="FFFFFF"/>
          </w:tcPr>
          <w:p>
            <w:pPr>
              <w:pStyle w:val="12"/>
              <w:spacing w:line="360" w:lineRule="exact"/>
              <w:ind w:firstLine="440" w:firstLineChars="200"/>
              <w:rPr>
                <w:rFonts w:hint="eastAsia" w:ascii="ˎ̥" w:hAnsi="ˎ̥" w:cs="Arial"/>
                <w:color w:val="auto"/>
                <w:sz w:val="22"/>
                <w:szCs w:val="22"/>
              </w:rPr>
            </w:pPr>
            <w:r>
              <w:rPr>
                <w:rFonts w:hint="eastAsia" w:ascii="ˎ̥" w:hAnsi="ˎ̥" w:cs="Arial"/>
                <w:color w:val="auto"/>
                <w:sz w:val="22"/>
                <w:szCs w:val="22"/>
              </w:rPr>
              <w:t>查看培训制度或规定、培训计划和培训记录，确认是否按规定实施培训；可通过提问，确认培训是否达到预期效果。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636" w:hRule="atLeast"/>
        </w:trPr>
        <w:tc>
          <w:tcPr>
            <w:tcW w:w="693" w:type="dxa"/>
            <w:vMerge w:val="continue"/>
            <w:tcBorders>
              <w:bottom w:val="single" w:color="auto" w:sz="4" w:space="0"/>
            </w:tcBorders>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4</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ascii="ˎ̥" w:hAnsi="ˎ̥" w:cs="Arial"/>
                <w:color w:val="auto"/>
                <w:sz w:val="22"/>
                <w:szCs w:val="22"/>
              </w:rPr>
              <w:t>每年</w:t>
            </w:r>
            <w:r>
              <w:rPr>
                <w:rFonts w:hint="eastAsia" w:ascii="ˎ̥" w:hAnsi="ˎ̥" w:cs="Arial"/>
                <w:color w:val="auto"/>
                <w:sz w:val="22"/>
                <w:szCs w:val="22"/>
              </w:rPr>
              <w:t>应</w:t>
            </w:r>
            <w:r>
              <w:rPr>
                <w:rFonts w:ascii="ˎ̥" w:hAnsi="ˎ̥" w:cs="Arial"/>
                <w:color w:val="auto"/>
                <w:sz w:val="22"/>
                <w:szCs w:val="22"/>
              </w:rPr>
              <w:t>对医疗器械质量管理工作进行全面自查，并形成自查报告</w:t>
            </w:r>
            <w:r>
              <w:rPr>
                <w:rFonts w:hint="eastAsia" w:ascii="ˎ̥" w:hAnsi="ˎ̥" w:cs="Arial"/>
                <w:color w:val="auto"/>
                <w:sz w:val="22"/>
                <w:szCs w:val="22"/>
              </w:rPr>
              <w:t>。</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hint="eastAsia" w:ascii="ˎ̥" w:hAnsi="ˎ̥" w:cs="Arial"/>
                <w:color w:val="auto"/>
                <w:sz w:val="22"/>
                <w:szCs w:val="22"/>
              </w:rPr>
            </w:pPr>
            <w:r>
              <w:rPr>
                <w:rFonts w:hint="eastAsia" w:ascii="ˎ̥" w:hAnsi="ˎ̥" w:cs="Arial"/>
                <w:color w:val="auto"/>
                <w:sz w:val="22"/>
                <w:szCs w:val="22"/>
              </w:rPr>
              <w:t>查看自查报告或自查记录或报告，确认开展了有效的自查，并进行整改。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393" w:hRule="atLeast"/>
        </w:trPr>
        <w:tc>
          <w:tcPr>
            <w:tcW w:w="693" w:type="dxa"/>
            <w:vMerge w:val="restart"/>
            <w:tcBorders>
              <w:top w:val="single" w:color="auto" w:sz="4" w:space="0"/>
            </w:tcBorders>
            <w:vAlign w:val="center"/>
          </w:tcPr>
          <w:p>
            <w:pPr>
              <w:pStyle w:val="12"/>
              <w:spacing w:line="360" w:lineRule="exact"/>
              <w:rPr>
                <w:rFonts w:ascii="Times New Roman" w:hAnsi="Times New Roman" w:cs="Times New Roman"/>
                <w:b/>
                <w:bCs/>
                <w:color w:val="auto"/>
                <w:sz w:val="22"/>
                <w:szCs w:val="22"/>
              </w:rPr>
            </w:pPr>
            <w:r>
              <w:rPr>
                <w:rFonts w:hint="eastAsia" w:ascii="Times New Roman" w:hAnsi="Times New Roman" w:cs="Times New Roman"/>
                <w:b/>
                <w:bCs/>
                <w:color w:val="auto"/>
                <w:sz w:val="22"/>
                <w:szCs w:val="22"/>
              </w:rPr>
              <w:t>采购与验收</w:t>
            </w: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5</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Times New Roman" w:hAnsi="Times New Roman" w:cs="Times New Roman"/>
                <w:color w:val="auto"/>
                <w:sz w:val="22"/>
                <w:szCs w:val="22"/>
              </w:rPr>
              <w:t>应当建立医疗器械采购管理制度或规定，对医疗器械采购实行统一管理，由其指定的部门或者人员统一采购医疗器械，其他部门或者人员不得自行采购。卫生健康等部门有特殊规定的，应遵照执行，如《大型医用设备配置与使用管理办法》《医疗机构医用耗材管理办法（试行）》等。</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查看采购管理制度或规定，是否包括上述要求内容。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593"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eastAsia="宋体"/>
                <w:color w:val="auto"/>
                <w:sz w:val="22"/>
                <w:szCs w:val="22"/>
              </w:rPr>
            </w:pPr>
            <w:r>
              <w:rPr>
                <w:rFonts w:hint="eastAsia" w:eastAsia="宋体"/>
                <w:color w:val="auto"/>
              </w:rPr>
              <w:t>※</w:t>
            </w:r>
            <w:r>
              <w:rPr>
                <w:rFonts w:hint="eastAsia" w:eastAsia="宋体"/>
                <w:color w:val="auto"/>
                <w:sz w:val="22"/>
                <w:szCs w:val="22"/>
              </w:rPr>
              <w:t>6</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应当建立采购档案，包括采购合同（如有）、供货者资质证明文件、</w:t>
            </w:r>
            <w:r>
              <w:rPr>
                <w:rFonts w:ascii="Times New Roman" w:hAnsi="Times New Roman" w:cs="Times New Roman"/>
                <w:color w:val="auto"/>
                <w:sz w:val="22"/>
                <w:szCs w:val="22"/>
              </w:rPr>
              <w:t>所</w:t>
            </w:r>
            <w:r>
              <w:rPr>
                <w:rFonts w:hint="eastAsia" w:ascii="Times New Roman" w:hAnsi="Times New Roman" w:cs="Times New Roman"/>
                <w:color w:val="auto"/>
                <w:sz w:val="22"/>
                <w:szCs w:val="22"/>
              </w:rPr>
              <w:t>采购</w:t>
            </w:r>
            <w:r>
              <w:rPr>
                <w:rFonts w:ascii="Times New Roman" w:hAnsi="Times New Roman" w:cs="Times New Roman"/>
                <w:color w:val="auto"/>
                <w:sz w:val="22"/>
                <w:szCs w:val="22"/>
              </w:rPr>
              <w:t>医疗器械的合法性证明文件</w:t>
            </w:r>
            <w:r>
              <w:rPr>
                <w:rFonts w:hint="eastAsia" w:ascii="Times New Roman" w:hAnsi="Times New Roman" w:cs="Times New Roman"/>
                <w:color w:val="auto"/>
                <w:sz w:val="22"/>
                <w:szCs w:val="22"/>
              </w:rPr>
              <w:t>、合格证明文件等。</w:t>
            </w:r>
          </w:p>
          <w:p>
            <w:pPr>
              <w:pStyle w:val="12"/>
              <w:spacing w:line="360" w:lineRule="exact"/>
              <w:ind w:firstLine="442" w:firstLineChars="200"/>
              <w:rPr>
                <w:rFonts w:ascii="Times New Roman" w:hAnsi="Times New Roman" w:eastAsia="黑体" w:cs="Times New Roman"/>
                <w:b/>
                <w:color w:val="auto"/>
                <w:sz w:val="22"/>
                <w:szCs w:val="22"/>
              </w:rPr>
            </w:pP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抽查供货者资质审核情况，确认是否有营业执照、医疗器械生产许可证或者经营许可证或者备案凭证等，生产或经营范围是否涵盖采购的医疗器械；抽查医疗器械资质合法性审核情况，确认是否有医疗器械注册证或者备案凭证复印件、检验报告或合格证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420"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7</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Times New Roman" w:hAnsi="Times New Roman" w:cs="Times New Roman"/>
                <w:color w:val="auto"/>
                <w:sz w:val="22"/>
                <w:szCs w:val="22"/>
              </w:rPr>
              <w:t>应当建立</w:t>
            </w:r>
            <w:r>
              <w:rPr>
                <w:rFonts w:ascii="Times New Roman" w:hAnsi="Times New Roman" w:cs="Times New Roman"/>
                <w:color w:val="auto"/>
                <w:sz w:val="22"/>
                <w:szCs w:val="22"/>
              </w:rPr>
              <w:t>采购记录</w:t>
            </w:r>
            <w:r>
              <w:rPr>
                <w:rFonts w:hint="eastAsia" w:ascii="Times New Roman" w:hAnsi="Times New Roman" w:cs="Times New Roman"/>
                <w:color w:val="auto"/>
                <w:sz w:val="22"/>
                <w:szCs w:val="22"/>
              </w:rPr>
              <w:t>，</w:t>
            </w:r>
            <w:r>
              <w:rPr>
                <w:rFonts w:ascii="Times New Roman" w:hAnsi="Times New Roman" w:cs="Times New Roman"/>
                <w:color w:val="auto"/>
                <w:sz w:val="22"/>
                <w:szCs w:val="22"/>
              </w:rPr>
              <w:t>列明医疗器械的名称、规格（型号）、注册证号或备案凭证号、</w:t>
            </w:r>
            <w:r>
              <w:rPr>
                <w:rFonts w:hint="eastAsia" w:ascii="Times New Roman" w:hAnsi="Times New Roman" w:cs="Times New Roman"/>
                <w:color w:val="auto"/>
                <w:sz w:val="22"/>
                <w:szCs w:val="22"/>
              </w:rPr>
              <w:t>生产企业、</w:t>
            </w:r>
            <w:r>
              <w:rPr>
                <w:rFonts w:ascii="Times New Roman" w:hAnsi="Times New Roman" w:cs="Times New Roman"/>
                <w:color w:val="auto"/>
                <w:sz w:val="22"/>
                <w:szCs w:val="22"/>
              </w:rPr>
              <w:t>单位、数量</w:t>
            </w:r>
            <w:r>
              <w:rPr>
                <w:rFonts w:hint="eastAsia" w:ascii="Times New Roman" w:hAnsi="Times New Roman" w:cs="Times New Roman"/>
                <w:color w:val="auto"/>
                <w:sz w:val="22"/>
                <w:szCs w:val="22"/>
              </w:rPr>
              <w:t>、</w:t>
            </w:r>
            <w:r>
              <w:rPr>
                <w:rFonts w:ascii="Times New Roman" w:hAnsi="Times New Roman" w:cs="Times New Roman"/>
                <w:color w:val="auto"/>
                <w:sz w:val="22"/>
                <w:szCs w:val="22"/>
              </w:rPr>
              <w:t>供货者、</w:t>
            </w:r>
            <w:r>
              <w:rPr>
                <w:rFonts w:hint="eastAsia" w:ascii="Times New Roman" w:hAnsi="Times New Roman" w:cs="Times New Roman"/>
                <w:color w:val="auto"/>
                <w:sz w:val="22"/>
                <w:szCs w:val="22"/>
              </w:rPr>
              <w:t>采购</w:t>
            </w:r>
            <w:r>
              <w:rPr>
                <w:rFonts w:ascii="Times New Roman" w:hAnsi="Times New Roman" w:cs="Times New Roman"/>
                <w:color w:val="auto"/>
                <w:sz w:val="22"/>
                <w:szCs w:val="22"/>
              </w:rPr>
              <w:t>日期等。</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抽查采购记录，确认采购记录是否列明上述内容。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3234"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8</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应当建立进货查验制度或规定，对购进的医疗器械应当对照采购记录、随货同行单对医疗器械的外观、包装、标签等进行核对，验明产品合格证明文件。</w:t>
            </w:r>
            <w:r>
              <w:rPr>
                <w:rFonts w:ascii="Times New Roman" w:hAnsi="Times New Roman" w:cs="Times New Roman"/>
                <w:color w:val="auto"/>
                <w:sz w:val="22"/>
                <w:szCs w:val="22"/>
              </w:rPr>
              <w:t>验收不合格的应当放置在不合格品区</w:t>
            </w:r>
            <w:r>
              <w:rPr>
                <w:rFonts w:hint="eastAsia" w:ascii="Times New Roman" w:hAnsi="Times New Roman" w:cs="Times New Roman"/>
                <w:color w:val="auto"/>
                <w:sz w:val="22"/>
                <w:szCs w:val="22"/>
              </w:rPr>
              <w:t>，</w:t>
            </w:r>
            <w:r>
              <w:rPr>
                <w:rFonts w:ascii="Times New Roman" w:hAnsi="Times New Roman" w:cs="Times New Roman"/>
                <w:color w:val="auto"/>
                <w:sz w:val="22"/>
                <w:szCs w:val="22"/>
              </w:rPr>
              <w:t>按照有关规定采取退货、销毁等处置措施。</w:t>
            </w:r>
          </w:p>
          <w:p>
            <w:pPr>
              <w:pStyle w:val="12"/>
              <w:spacing w:line="360" w:lineRule="exact"/>
              <w:ind w:firstLine="440" w:firstLineChars="200"/>
              <w:rPr>
                <w:rFonts w:hint="eastAsia" w:ascii="ˎ̥" w:hAnsi="ˎ̥" w:cs="Arial"/>
                <w:color w:val="auto"/>
                <w:sz w:val="22"/>
                <w:szCs w:val="22"/>
              </w:rPr>
            </w:pPr>
            <w:r>
              <w:rPr>
                <w:rFonts w:hint="eastAsia" w:ascii="Times New Roman" w:hAnsi="Times New Roman" w:cs="Times New Roman"/>
                <w:color w:val="auto"/>
                <w:sz w:val="22"/>
                <w:szCs w:val="22"/>
              </w:rPr>
              <w:t>冷链管理的医疗器械应移入冷藏区验收，重点核实运输方式、到货及在途温度、启运时间和到货时间并做好记录，不符合温度要求的应当拒收。</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Times New Roman" w:hAnsi="Times New Roman" w:cs="Times New Roman"/>
                <w:color w:val="auto"/>
                <w:sz w:val="22"/>
                <w:szCs w:val="22"/>
              </w:rPr>
              <w:t>查看验收制度或规定，是否包括上述要求；现场询问验收人员、抽查进货查验记录，重点抽查冷链管理的医疗器械进货查验记录，确认是否按规定进行验收。现场查看不合格品是否按规定放置。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062"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9</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ascii="Times New Roman" w:hAnsi="Times New Roman" w:cs="Times New Roman"/>
                <w:color w:val="auto"/>
                <w:sz w:val="22"/>
                <w:szCs w:val="22"/>
              </w:rPr>
              <w:t>应当</w:t>
            </w:r>
            <w:r>
              <w:rPr>
                <w:rFonts w:hint="eastAsia" w:ascii="ˎ̥" w:hAnsi="ˎ̥" w:cs="Arial"/>
                <w:color w:val="auto"/>
                <w:sz w:val="22"/>
                <w:szCs w:val="22"/>
              </w:rPr>
              <w:t>真实、完整、准确地记录进货查验情况，</w:t>
            </w:r>
            <w:r>
              <w:rPr>
                <w:rFonts w:ascii="Times New Roman" w:hAnsi="Times New Roman" w:cs="Times New Roman"/>
                <w:color w:val="auto"/>
                <w:sz w:val="22"/>
                <w:szCs w:val="22"/>
              </w:rPr>
              <w:t>验收合格的医疗器械是否及时入库登记；验收不合格的，应当注明不合格事项</w:t>
            </w:r>
            <w:r>
              <w:rPr>
                <w:rFonts w:hint="eastAsia" w:ascii="Times New Roman" w:hAnsi="Times New Roman" w:cs="Times New Roman"/>
                <w:color w:val="auto"/>
                <w:sz w:val="22"/>
                <w:szCs w:val="22"/>
              </w:rPr>
              <w:t>和处理情况。</w:t>
            </w:r>
          </w:p>
          <w:p>
            <w:pPr>
              <w:pStyle w:val="12"/>
              <w:spacing w:line="360" w:lineRule="exact"/>
              <w:ind w:firstLine="440" w:firstLineChars="200"/>
              <w:rPr>
                <w:rFonts w:ascii="Times New Roman" w:hAnsi="Times New Roman" w:eastAsia="黑体" w:cs="Times New Roman"/>
                <w:b/>
                <w:color w:val="auto"/>
                <w:sz w:val="22"/>
                <w:szCs w:val="22"/>
              </w:rPr>
            </w:pPr>
            <w:r>
              <w:rPr>
                <w:rFonts w:hint="eastAsia" w:ascii="ˎ̥" w:hAnsi="ˎ̥" w:cs="Arial"/>
                <w:color w:val="auto"/>
                <w:sz w:val="22"/>
                <w:szCs w:val="22"/>
              </w:rPr>
              <w:t>进货查验记录应当保存至医疗器械规定使用期限届满后2年或者使用终止后2年。大型医疗器械进货查验记录应当保存至医疗器械规定使用期限届满后5年或者使用终止后5年；植入性医疗器械进货查验记录应当永久保存。医疗器械使用单位应当妥善保存购入第三类医疗器械的原始资料，确保信息具有可追溯性。</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Times New Roman" w:hAnsi="Times New Roman" w:cs="Times New Roman"/>
                <w:color w:val="auto"/>
                <w:sz w:val="22"/>
                <w:szCs w:val="22"/>
              </w:rPr>
              <w:t>抽查进货查验记录、不合格产品处置记录、第三类医疗器械原始资料及留存情况，确认是否按规定实施入库、验收和不合格品处置。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840" w:hRule="atLeast"/>
        </w:trPr>
        <w:tc>
          <w:tcPr>
            <w:tcW w:w="693" w:type="dxa"/>
            <w:vMerge w:val="restart"/>
            <w:vAlign w:val="center"/>
          </w:tcPr>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r>
              <w:rPr>
                <w:rFonts w:hint="eastAsia" w:ascii="Times New Roman" w:hAnsi="Times New Roman" w:cs="Times New Roman"/>
                <w:b/>
                <w:bCs/>
                <w:color w:val="auto"/>
                <w:sz w:val="22"/>
                <w:szCs w:val="22"/>
              </w:rPr>
              <w:t>贮存与出库</w:t>
            </w: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rPr>
                <w:rFonts w:ascii="Times New Roman" w:hAnsi="Times New Roman" w:cs="Times New Roman"/>
                <w:b/>
                <w:bCs/>
                <w:color w:val="auto"/>
                <w:sz w:val="22"/>
                <w:szCs w:val="22"/>
              </w:rPr>
            </w:pPr>
          </w:p>
        </w:tc>
        <w:tc>
          <w:tcPr>
            <w:tcW w:w="673" w:type="dxa"/>
            <w:tcBorders>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sz w:val="22"/>
                <w:szCs w:val="22"/>
              </w:rPr>
              <w:t xml:space="preserve"> </w:t>
            </w:r>
            <w:r>
              <w:rPr>
                <w:rFonts w:hint="eastAsia" w:eastAsia="宋体"/>
                <w:color w:val="auto"/>
              </w:rPr>
              <w:t>※</w:t>
            </w:r>
            <w:r>
              <w:rPr>
                <w:rFonts w:hint="eastAsia" w:eastAsia="宋体"/>
                <w:color w:val="auto"/>
                <w:sz w:val="22"/>
                <w:szCs w:val="22"/>
              </w:rPr>
              <w:t>10</w:t>
            </w:r>
          </w:p>
        </w:tc>
        <w:tc>
          <w:tcPr>
            <w:tcW w:w="4682" w:type="dxa"/>
            <w:tcBorders>
              <w:bottom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b/>
                <w:color w:val="auto"/>
                <w:sz w:val="22"/>
                <w:szCs w:val="22"/>
              </w:rPr>
            </w:pPr>
            <w:r>
              <w:rPr>
                <w:rFonts w:hint="eastAsia" w:ascii="仿宋" w:hAnsi="仿宋" w:eastAsia="仿宋" w:cs="仿宋"/>
                <w:color w:val="auto"/>
                <w:sz w:val="22"/>
                <w:szCs w:val="22"/>
              </w:rPr>
              <w:t>应当具有与医疗器械品种、数量相适应，符合产品说明书、标签标示的要求及使用安全、有效需要的贮存场所、设施及条件。贮存场所面积应当满足贮存要求，医疗器械与非医疗器械应分开贮存，有明显隔离，并有醒目标示。配备相应地垫、货架、货柜、托盘等贮存医疗器械的设备。</w:t>
            </w:r>
          </w:p>
        </w:tc>
        <w:tc>
          <w:tcPr>
            <w:tcW w:w="4066" w:type="dxa"/>
            <w:tcBorders>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仿宋" w:hAnsi="仿宋" w:eastAsia="仿宋" w:cs="仿宋"/>
                <w:color w:val="auto"/>
                <w:sz w:val="22"/>
                <w:szCs w:val="22"/>
              </w:rPr>
              <w:t>现场检查库房面积是否与贮存医疗器械规模相适应，内外环境是否整洁，有无污染源，是否有可靠的安全防护措施；查看库房设施设备配置等情况，确认库房是否符合医疗器械贮存要求并能防止医疗器械的混淆、差错或被污损，是否配备避光、通风、防潮、防虫、防鼠等设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90"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tcBorders>
            <w:shd w:val="clear" w:color="auto" w:fill="auto"/>
            <w:vAlign w:val="center"/>
          </w:tcPr>
          <w:p>
            <w:pPr>
              <w:pStyle w:val="12"/>
              <w:spacing w:line="360" w:lineRule="exact"/>
              <w:jc w:val="center"/>
              <w:rPr>
                <w:rFonts w:eastAsia="宋体"/>
                <w:color w:val="auto"/>
                <w:sz w:val="22"/>
                <w:szCs w:val="22"/>
              </w:rPr>
            </w:pPr>
            <w:r>
              <w:rPr>
                <w:rFonts w:hint="eastAsia" w:eastAsia="宋体"/>
                <w:color w:val="auto"/>
                <w:sz w:val="22"/>
                <w:szCs w:val="22"/>
              </w:rPr>
              <w:t>11</w:t>
            </w:r>
          </w:p>
        </w:tc>
        <w:tc>
          <w:tcPr>
            <w:tcW w:w="4682" w:type="dxa"/>
            <w:tcBorders>
              <w:top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b/>
                <w:color w:val="auto"/>
                <w:sz w:val="22"/>
                <w:szCs w:val="22"/>
              </w:rPr>
            </w:pPr>
            <w:r>
              <w:rPr>
                <w:rFonts w:hint="eastAsia" w:ascii="仿宋" w:hAnsi="仿宋" w:eastAsia="仿宋" w:cs="仿宋"/>
                <w:color w:val="auto"/>
                <w:sz w:val="22"/>
                <w:szCs w:val="22"/>
              </w:rPr>
              <w:t>贮存的医疗器械，应当按质量状态采取控制措施，实行分区管理，包括待验区、合格品区、不合格品区、发货区等，并有明显区分（如可采用色标管理，设置待验区为黄色、合格品区和发货区为绿色、不合格品区为红色），退货产品应当单独存放。</w:t>
            </w:r>
          </w:p>
        </w:tc>
        <w:tc>
          <w:tcPr>
            <w:tcW w:w="4066" w:type="dxa"/>
            <w:tcBorders>
              <w:top w:val="single" w:color="auto" w:sz="4" w:space="0"/>
              <w:lef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仿宋" w:hAnsi="仿宋" w:eastAsia="仿宋" w:cs="仿宋"/>
                <w:color w:val="auto"/>
                <w:sz w:val="22"/>
                <w:szCs w:val="22"/>
              </w:rPr>
              <w:t>现场检查在库房贮存的医疗器械是否分区管理并符合上述要求，是否进行合理贮存。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036"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rPr>
              <w:t>※</w:t>
            </w:r>
            <w:r>
              <w:rPr>
                <w:rFonts w:hint="eastAsia" w:ascii="Times New Roman" w:hAnsi="Times New Roman" w:cs="Times New Roman"/>
                <w:color w:val="auto"/>
                <w:sz w:val="22"/>
                <w:szCs w:val="22"/>
              </w:rPr>
              <w:t xml:space="preserve">12 </w:t>
            </w:r>
          </w:p>
        </w:tc>
        <w:tc>
          <w:tcPr>
            <w:tcW w:w="4682" w:type="dxa"/>
            <w:tcBorders>
              <w:bottom w:val="single" w:color="auto" w:sz="4" w:space="0"/>
              <w:right w:val="single" w:color="auto" w:sz="4" w:space="0"/>
            </w:tcBorders>
            <w:shd w:val="clear" w:color="auto" w:fill="FFFFFF"/>
          </w:tcPr>
          <w:p>
            <w:pPr>
              <w:pStyle w:val="12"/>
              <w:spacing w:line="360" w:lineRule="exact"/>
              <w:rPr>
                <w:rFonts w:ascii="仿宋" w:hAnsi="仿宋" w:eastAsia="仿宋" w:cs="仿宋"/>
                <w:b/>
                <w:iCs/>
                <w:color w:val="auto"/>
                <w:sz w:val="22"/>
                <w:szCs w:val="22"/>
              </w:rPr>
            </w:pPr>
            <w:r>
              <w:rPr>
                <w:rFonts w:hint="eastAsia" w:ascii="仿宋" w:hAnsi="仿宋" w:eastAsia="仿宋" w:cs="仿宋"/>
                <w:color w:val="auto"/>
                <w:sz w:val="22"/>
                <w:szCs w:val="22"/>
              </w:rPr>
              <w:t>对有特殊温湿度贮存要求的医疗器械，应当配备有效调控及监测温湿度的设备或者仪器。温度、湿度应当符合医疗器械说明书或标签标示的要求，并监测和记录贮存区域的温度、湿度等数据，确保各环节温度可追溯性。其中，需要冷藏、冷冻贮存的医疗器械，应当配备与其贮存规模和贮存品种相适应的冷库或冷藏设备（冷藏箱或冷藏柜等）、确保制冷设备正常运转的设施（如备用发电机组或者双回路供电系统）；需在各科室之间转运的，应当按照被转运产品的贮存要求进行转运。</w:t>
            </w:r>
          </w:p>
        </w:tc>
        <w:tc>
          <w:tcPr>
            <w:tcW w:w="4066" w:type="dxa"/>
            <w:tcBorders>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仿宋" w:hAnsi="仿宋" w:eastAsia="仿宋" w:cs="仿宋"/>
                <w:color w:val="auto"/>
                <w:sz w:val="22"/>
                <w:szCs w:val="22"/>
              </w:rPr>
              <w:t>重点检查贮存场所是否配备和使用能够调控温度、湿度和有效监测的设备或仪器。现场确认库房温度、湿度与其贮存的医疗器械说明书或标签标示的要求是否一致。抽查温湿度监测记录，确认是否按规定对温度、湿度进行有效的监测，每天上、下午各不少于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260"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13</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应对冷藏、冷冻设施设备以及温度监测系统进行确认，并保留确认记录等资料。有条件的使用单位应对冷藏、冷冻设施设备以及温度监测系统进行使用前验证、定期验证及停用时间超过规定时限情况下的验证。未经确认或验证的设施设备，不得用于冷藏管理医疗器械的贮存和转运过程。</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仿宋" w:hAnsi="仿宋" w:eastAsia="仿宋" w:cs="仿宋"/>
                <w:color w:val="auto"/>
                <w:sz w:val="22"/>
                <w:szCs w:val="22"/>
              </w:rPr>
              <w:t>查看确认或验证记录，确认冷藏、冷冻设施设备以及温度监测系统符合贮存和温测要求。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406"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14</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应当按照国家有关规定，对强制检定的计量器具实施强制检定；非强制检定的，使用单位可自行选择非强制检定或者校准的方式，保证量值准确。</w:t>
            </w:r>
          </w:p>
          <w:p>
            <w:pPr>
              <w:pStyle w:val="12"/>
              <w:spacing w:line="360" w:lineRule="exact"/>
              <w:ind w:firstLine="442" w:firstLineChars="200"/>
              <w:rPr>
                <w:rFonts w:ascii="仿宋" w:hAnsi="仿宋" w:eastAsia="仿宋" w:cs="仿宋"/>
                <w:b/>
                <w:color w:val="auto"/>
                <w:sz w:val="22"/>
                <w:szCs w:val="22"/>
              </w:rPr>
            </w:pP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仿宋" w:hAnsi="仿宋" w:eastAsia="仿宋" w:cs="仿宋"/>
                <w:color w:val="auto"/>
                <w:sz w:val="22"/>
                <w:szCs w:val="22"/>
              </w:rPr>
              <w:t>重点查看计量器具和计量设备的管理规定和校准、检定及保证其量值准确的相关资料。重点抽查需强制检定的计量器具和计量设备校准、检定证明及其使用、检定记录，确认是否按照国家有关规定对温湿度监测等设备进行校准、监测以保证量值准确，并保存相关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433"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sz w:val="22"/>
                <w:szCs w:val="22"/>
              </w:rPr>
              <w:t>15</w:t>
            </w:r>
          </w:p>
        </w:tc>
        <w:tc>
          <w:tcPr>
            <w:tcW w:w="4682" w:type="dxa"/>
            <w:tcBorders>
              <w:bottom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应当建立在库医疗器械检查制度或规定，按照产品说明书或标签标示的贮存条件等要求对贮存的医疗器械进行定期检查并记录。其中，冷链管理医疗器械在库期间应重点对贮存的冷链管理医疗器械的包装、标签、外观及温度状况等进行检查并记录。</w:t>
            </w:r>
          </w:p>
        </w:tc>
        <w:tc>
          <w:tcPr>
            <w:tcW w:w="4066" w:type="dxa"/>
            <w:tcBorders>
              <w:left w:val="single" w:color="auto" w:sz="4" w:space="0"/>
              <w:bottom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仿宋" w:hAnsi="仿宋" w:eastAsia="仿宋" w:cs="仿宋"/>
                <w:color w:val="auto"/>
                <w:sz w:val="22"/>
                <w:szCs w:val="22"/>
              </w:rPr>
              <w:t>查看在库医疗器械检查制度或规定，是否包括上述要求内容。查看在库医疗器械检查记录，确认是否按规定进行定期检查。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921"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eastAsia="宋体"/>
                <w:color w:val="auto"/>
                <w:sz w:val="22"/>
                <w:szCs w:val="22"/>
              </w:rPr>
            </w:pPr>
            <w:r>
              <w:rPr>
                <w:rFonts w:hint="eastAsia" w:eastAsia="宋体"/>
                <w:color w:val="auto"/>
              </w:rPr>
              <w:t>※</w:t>
            </w:r>
            <w:r>
              <w:rPr>
                <w:rFonts w:hint="eastAsia" w:eastAsia="宋体"/>
                <w:color w:val="auto"/>
                <w:sz w:val="22"/>
                <w:szCs w:val="22"/>
              </w:rPr>
              <w:t>16</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b/>
                <w:color w:val="auto"/>
                <w:sz w:val="22"/>
                <w:szCs w:val="22"/>
              </w:rPr>
            </w:pPr>
            <w:r>
              <w:rPr>
                <w:rFonts w:hint="eastAsia" w:ascii="仿宋" w:hAnsi="仿宋" w:eastAsia="仿宋" w:cs="仿宋"/>
                <w:color w:val="auto"/>
                <w:sz w:val="22"/>
                <w:szCs w:val="22"/>
              </w:rPr>
              <w:t>应当对库存医疗器械有效期进行跟踪和控制，采取近效期预警，超过有效期的医疗器械，应当放置在不合格品区，按规定进行销毁，并保存相关记录。超过有效期的医疗器械，禁止使用。</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抽查效期管理及超过有效期医疗器械处置相关记录，确认是否按规定对库存医疗器械效期进行有效管理，并对超过有效期医疗器械按规定及时处置。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833" w:hRule="atLeast"/>
        </w:trPr>
        <w:tc>
          <w:tcPr>
            <w:tcW w:w="693" w:type="dxa"/>
            <w:vMerge w:val="continue"/>
            <w:tcBorders>
              <w:bottom w:val="single" w:color="auto" w:sz="4" w:space="0"/>
            </w:tcBorders>
            <w:vAlign w:val="center"/>
          </w:tcPr>
          <w:p>
            <w:pPr>
              <w:pStyle w:val="12"/>
              <w:spacing w:line="360" w:lineRule="exact"/>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eastAsia="宋体"/>
                <w:color w:val="auto"/>
                <w:sz w:val="22"/>
                <w:szCs w:val="22"/>
              </w:rPr>
            </w:pPr>
            <w:r>
              <w:rPr>
                <w:rFonts w:hint="eastAsia" w:eastAsia="宋体"/>
                <w:color w:val="auto"/>
                <w:sz w:val="22"/>
                <w:szCs w:val="22"/>
              </w:rPr>
              <w:t>17</w:t>
            </w:r>
          </w:p>
        </w:tc>
        <w:tc>
          <w:tcPr>
            <w:tcW w:w="4682" w:type="dxa"/>
            <w:tcBorders>
              <w:top w:val="single" w:color="auto" w:sz="4" w:space="0"/>
              <w:righ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医疗器械出库时，库房保管人员应当对照出库的医疗器械进行核对并记录，复核内容包括购货者、医疗器械的名称、规格（型号）、注册证号或者备案凭证编号、生产批号或者序列号、生产日期和有效期（或者失效期）、生产企业、数量、出库日期等内容。发现以下情况不得出库，并报告质量管理机构或质量管理人员处理：</w:t>
            </w:r>
          </w:p>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（一）医疗器械包装出现破损、污染、封口不牢、封条损坏等问题；</w:t>
            </w:r>
          </w:p>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（二）标签脱落、字迹模糊不清或者标示内容与实物不符；</w:t>
            </w:r>
          </w:p>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（三）医疗器械超过有效期；</w:t>
            </w:r>
          </w:p>
          <w:p>
            <w:pPr>
              <w:pStyle w:val="12"/>
              <w:spacing w:line="360" w:lineRule="exact"/>
              <w:ind w:firstLine="440" w:firstLineChars="200"/>
              <w:rPr>
                <w:rFonts w:ascii="仿宋" w:hAnsi="仿宋" w:eastAsia="仿宋" w:cs="仿宋"/>
                <w:b/>
                <w:color w:val="auto"/>
                <w:sz w:val="22"/>
                <w:szCs w:val="22"/>
              </w:rPr>
            </w:pPr>
            <w:r>
              <w:rPr>
                <w:rFonts w:hint="eastAsia" w:ascii="仿宋" w:hAnsi="仿宋" w:eastAsia="仿宋" w:cs="仿宋"/>
                <w:color w:val="auto"/>
                <w:sz w:val="22"/>
                <w:szCs w:val="22"/>
              </w:rPr>
              <w:t>（四）存在其他异常情况的医疗器械。</w:t>
            </w:r>
          </w:p>
        </w:tc>
        <w:tc>
          <w:tcPr>
            <w:tcW w:w="4066" w:type="dxa"/>
            <w:tcBorders>
              <w:top w:val="single" w:color="auto" w:sz="4" w:space="0"/>
              <w:lef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抽查出库复核记录，确认是否按规定开展医疗器械出库复核工作，确认出库复核记录是否包括上述内容且信息准确、完整。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234" w:hRule="atLeast"/>
        </w:trPr>
        <w:tc>
          <w:tcPr>
            <w:tcW w:w="693" w:type="dxa"/>
            <w:vMerge w:val="restart"/>
            <w:tcBorders>
              <w:top w:val="single" w:color="auto" w:sz="4" w:space="0"/>
            </w:tcBorders>
            <w:vAlign w:val="center"/>
          </w:tcPr>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p>
          <w:p>
            <w:pPr>
              <w:pStyle w:val="12"/>
              <w:spacing w:line="360" w:lineRule="exact"/>
              <w:jc w:val="center"/>
              <w:rPr>
                <w:rFonts w:ascii="Times New Roman" w:hAnsi="Times New Roman" w:cs="Times New Roman"/>
                <w:b/>
                <w:bCs/>
                <w:color w:val="auto"/>
                <w:sz w:val="22"/>
                <w:szCs w:val="22"/>
              </w:rPr>
            </w:pPr>
            <w:r>
              <w:rPr>
                <w:rFonts w:hint="eastAsia" w:ascii="Times New Roman" w:hAnsi="Times New Roman" w:cs="Times New Roman"/>
                <w:b/>
                <w:bCs/>
                <w:color w:val="auto"/>
                <w:sz w:val="22"/>
                <w:szCs w:val="22"/>
              </w:rPr>
              <w:t>使用与维护</w:t>
            </w:r>
          </w:p>
          <w:p>
            <w:pPr>
              <w:pStyle w:val="12"/>
              <w:spacing w:line="360" w:lineRule="exact"/>
              <w:jc w:val="center"/>
              <w:rPr>
                <w:rFonts w:ascii="Times New Roman" w:hAnsi="Times New Roman" w:cs="Times New Roman"/>
                <w:b/>
                <w:bCs/>
                <w:color w:val="auto"/>
                <w:sz w:val="22"/>
                <w:szCs w:val="22"/>
              </w:rPr>
            </w:pPr>
          </w:p>
        </w:tc>
        <w:tc>
          <w:tcPr>
            <w:tcW w:w="673" w:type="dxa"/>
            <w:tcBorders>
              <w:top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sz w:val="22"/>
                <w:szCs w:val="22"/>
              </w:rPr>
              <w:t>18</w:t>
            </w:r>
          </w:p>
        </w:tc>
        <w:tc>
          <w:tcPr>
            <w:tcW w:w="4682" w:type="dxa"/>
            <w:tcBorders>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应当建立医疗器械使用前质量检查制度。在使用医疗器械前，应当按照产品说明书的有关要求进行检查。使用体外诊断试剂前，应当重点检查产品的有效期、贮存转运环节温湿度是否符合要求、设备是否适用等。使用无菌医疗器械前，应当检查直接接触医疗器械的包装及其有效期限等。</w:t>
            </w:r>
          </w:p>
        </w:tc>
        <w:tc>
          <w:tcPr>
            <w:tcW w:w="4066" w:type="dxa"/>
            <w:tcBorders>
              <w:lef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查看使用前质量检查制度或规定，是否包括上述要求内容。询问科室使用人员，确认是否按规定进行使用前质量检查。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531"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rPr>
              <w:t>※</w:t>
            </w:r>
            <w:r>
              <w:rPr>
                <w:rFonts w:hint="eastAsia" w:ascii="Times New Roman" w:hAnsi="Times New Roman" w:cs="Times New Roman"/>
                <w:color w:val="auto"/>
                <w:sz w:val="22"/>
                <w:szCs w:val="22"/>
              </w:rPr>
              <w:t>19</w:t>
            </w:r>
          </w:p>
        </w:tc>
        <w:tc>
          <w:tcPr>
            <w:tcW w:w="4682" w:type="dxa"/>
            <w:tcBorders>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对植入和介入类医疗器械应当建立使用记录，植入性医疗器械使用记录永久保存，相关资料应当纳入信息化管理系统，确保信息可追溯。</w:t>
            </w:r>
          </w:p>
          <w:p>
            <w:pPr>
              <w:pStyle w:val="12"/>
              <w:spacing w:line="360" w:lineRule="exact"/>
              <w:ind w:firstLine="440" w:firstLineChars="200"/>
              <w:rPr>
                <w:rFonts w:ascii="Times New Roman" w:hAnsi="Times New Roman" w:cs="Times New Roman"/>
                <w:color w:val="auto"/>
                <w:sz w:val="22"/>
                <w:szCs w:val="22"/>
              </w:rPr>
            </w:pPr>
          </w:p>
        </w:tc>
        <w:tc>
          <w:tcPr>
            <w:tcW w:w="4066" w:type="dxa"/>
            <w:tcBorders>
              <w:lef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查看使用记录，确认记录留存了植入和介入类医疗器械的信息（产品名称、规格型号、注册证号或备案凭证号、生产企业、生产批号或序列号、灭菌批号、生产日期、有效期或失效期、供货者、购货日期、患者基本信息、手术（治疗）时间、手术（治疗）医生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966"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20</w:t>
            </w:r>
          </w:p>
        </w:tc>
        <w:tc>
          <w:tcPr>
            <w:tcW w:w="4682" w:type="dxa"/>
            <w:tcBorders>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hint="eastAsia" w:ascii="Times New Roman" w:hAnsi="Times New Roman" w:cs="Times New Roman"/>
                <w:color w:val="auto"/>
                <w:sz w:val="22"/>
                <w:szCs w:val="22"/>
              </w:rPr>
              <w:t>使用前如</w:t>
            </w:r>
            <w:r>
              <w:rPr>
                <w:rFonts w:ascii="Times New Roman" w:hAnsi="Times New Roman" w:cs="Times New Roman"/>
                <w:color w:val="auto"/>
                <w:sz w:val="22"/>
                <w:szCs w:val="22"/>
              </w:rPr>
              <w:t>有质量疑问的医疗器械</w:t>
            </w:r>
            <w:r>
              <w:rPr>
                <w:rFonts w:hint="eastAsia" w:ascii="Times New Roman" w:hAnsi="Times New Roman" w:cs="Times New Roman"/>
                <w:color w:val="auto"/>
                <w:sz w:val="22"/>
                <w:szCs w:val="22"/>
              </w:rPr>
              <w:t>，</w:t>
            </w:r>
            <w:r>
              <w:rPr>
                <w:rFonts w:ascii="Times New Roman" w:hAnsi="Times New Roman" w:cs="Times New Roman"/>
                <w:color w:val="auto"/>
                <w:sz w:val="22"/>
                <w:szCs w:val="22"/>
              </w:rPr>
              <w:t>应当</w:t>
            </w:r>
            <w:r>
              <w:rPr>
                <w:rFonts w:hint="eastAsia" w:ascii="Times New Roman" w:hAnsi="Times New Roman" w:cs="Times New Roman"/>
                <w:color w:val="auto"/>
                <w:sz w:val="22"/>
                <w:szCs w:val="22"/>
              </w:rPr>
              <w:t>立即停止使用，</w:t>
            </w:r>
            <w:r>
              <w:rPr>
                <w:rFonts w:ascii="Times New Roman" w:hAnsi="Times New Roman" w:cs="Times New Roman"/>
                <w:color w:val="auto"/>
                <w:sz w:val="22"/>
                <w:szCs w:val="22"/>
              </w:rPr>
              <w:t>由质量管理人员确认和处理，并保留相关记录。</w:t>
            </w:r>
          </w:p>
        </w:tc>
        <w:tc>
          <w:tcPr>
            <w:tcW w:w="4066" w:type="dxa"/>
            <w:tcBorders>
              <w:lef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重点查看对有质量疑问的医疗器械处置程序的相关文件及处置记录，是否包括上述要求内容，是否按规定处置了有质量疑问的医疗器械。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3207"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21</w:t>
            </w:r>
          </w:p>
        </w:tc>
        <w:tc>
          <w:tcPr>
            <w:tcW w:w="4682" w:type="dxa"/>
            <w:tcBorders>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ascii="ˎ̥" w:hAnsi="ˎ̥" w:cs="Arial"/>
                <w:color w:val="auto"/>
                <w:sz w:val="22"/>
                <w:szCs w:val="22"/>
              </w:rPr>
              <w:t>应当建立医疗器械维护维修管理制度</w:t>
            </w:r>
            <w:r>
              <w:rPr>
                <w:rFonts w:hint="eastAsia" w:ascii="ˎ̥" w:hAnsi="ˎ̥" w:cs="Arial"/>
                <w:color w:val="auto"/>
                <w:sz w:val="22"/>
                <w:szCs w:val="22"/>
              </w:rPr>
              <w:t>或规定</w:t>
            </w:r>
            <w:r>
              <w:rPr>
                <w:rFonts w:ascii="ˎ̥" w:hAnsi="ˎ̥" w:cs="Arial"/>
                <w:color w:val="auto"/>
                <w:sz w:val="22"/>
                <w:szCs w:val="22"/>
              </w:rPr>
              <w:t>。对需要定期检查、检验、校准、保养、维护的医疗器械，应当按照产品说明书的要求进行检查、检验、校准、保养、维护并记录，及时进行分析、评估，确保医疗器械处于良好状态。</w:t>
            </w:r>
            <w:r>
              <w:rPr>
                <w:rFonts w:ascii="ˎ̥" w:hAnsi="ˎ̥" w:cs="Arial"/>
                <w:color w:val="auto"/>
                <w:sz w:val="20"/>
                <w:szCs w:val="20"/>
              </w:rPr>
              <w:br w:type="textWrapping"/>
            </w:r>
            <w:r>
              <w:rPr>
                <w:rFonts w:ascii="ˎ̥" w:hAnsi="ˎ̥" w:cs="Arial"/>
                <w:color w:val="auto"/>
                <w:sz w:val="22"/>
                <w:szCs w:val="22"/>
              </w:rPr>
              <w:t>　　对使用期限长的大型医疗器械，应当逐台建立使用档案，记录其使用、维护等情况。记录保存期限不得少于医疗器械规定使用期限届满后5年或者使用终止后5年。</w:t>
            </w:r>
          </w:p>
        </w:tc>
        <w:tc>
          <w:tcPr>
            <w:tcW w:w="4066" w:type="dxa"/>
            <w:tcBorders>
              <w:lef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重点查看医疗器械维护保养的相关规定，抽查实施相关规定的记录和档案，确认是否按规定对医疗器械进行定期检查、检验、保养和维护维护。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0" w:hRule="atLeast"/>
        </w:trPr>
        <w:tc>
          <w:tcPr>
            <w:tcW w:w="693" w:type="dxa"/>
            <w:vMerge w:val="continue"/>
            <w:vAlign w:val="center"/>
          </w:tcPr>
          <w:p>
            <w:pPr>
              <w:pStyle w:val="12"/>
              <w:spacing w:line="360" w:lineRule="exact"/>
              <w:jc w:val="center"/>
              <w:rPr>
                <w:rFonts w:ascii="Times New Roman" w:hAnsi="Times New Roman" w:cs="Times New Roman"/>
                <w:b/>
                <w:bCs/>
                <w:color w:val="auto"/>
                <w:sz w:val="22"/>
                <w:szCs w:val="22"/>
              </w:rPr>
            </w:pPr>
          </w:p>
        </w:tc>
        <w:tc>
          <w:tcPr>
            <w:tcW w:w="673" w:type="dxa"/>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rPr>
              <w:t>※</w:t>
            </w:r>
            <w:r>
              <w:rPr>
                <w:rFonts w:hint="eastAsia" w:ascii="Times New Roman" w:hAnsi="Times New Roman" w:cs="Times New Roman"/>
                <w:color w:val="auto"/>
                <w:sz w:val="22"/>
                <w:szCs w:val="22"/>
              </w:rPr>
              <w:t>22</w:t>
            </w:r>
          </w:p>
        </w:tc>
        <w:tc>
          <w:tcPr>
            <w:tcW w:w="4682" w:type="dxa"/>
            <w:tcBorders>
              <w:right w:val="single" w:color="auto" w:sz="4" w:space="0"/>
            </w:tcBorders>
            <w:shd w:val="clear" w:color="auto" w:fill="FFFFFF"/>
          </w:tcPr>
          <w:p>
            <w:pPr>
              <w:pStyle w:val="12"/>
              <w:spacing w:line="360" w:lineRule="exact"/>
              <w:ind w:firstLine="440" w:firstLineChars="200"/>
              <w:rPr>
                <w:rFonts w:ascii="Times New Roman" w:hAnsi="Times New Roman" w:cs="Times New Roman"/>
                <w:color w:val="auto"/>
                <w:sz w:val="22"/>
                <w:szCs w:val="22"/>
              </w:rPr>
            </w:pPr>
            <w:r>
              <w:rPr>
                <w:rFonts w:ascii="ˎ̥" w:hAnsi="ˎ̥" w:cs="Arial"/>
                <w:color w:val="auto"/>
                <w:sz w:val="22"/>
                <w:szCs w:val="22"/>
              </w:rPr>
              <w:t>应当按照产品说明书等要求使用医疗器械。一次性使用的医疗器械不得重复使用，对使用</w:t>
            </w:r>
            <w:r>
              <w:rPr>
                <w:rFonts w:hint="eastAsia" w:ascii="ˎ̥" w:hAnsi="ˎ̥" w:cs="Arial"/>
                <w:color w:val="auto"/>
                <w:sz w:val="22"/>
                <w:szCs w:val="22"/>
              </w:rPr>
              <w:t>后属于医疗废物的，应当严格按照医疗废物管理有关规定处理</w:t>
            </w:r>
            <w:r>
              <w:rPr>
                <w:rFonts w:ascii="ˎ̥" w:hAnsi="ˎ̥" w:cs="Arial"/>
                <w:color w:val="auto"/>
                <w:sz w:val="22"/>
                <w:szCs w:val="22"/>
              </w:rPr>
              <w:t>并记录。</w:t>
            </w:r>
          </w:p>
        </w:tc>
        <w:tc>
          <w:tcPr>
            <w:tcW w:w="4066" w:type="dxa"/>
            <w:tcBorders>
              <w:left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重点查看一次性使用的医疗器械使用后处置相关规定和处置记录，确认是否按规定进行销毁。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675" w:hRule="atLeast"/>
        </w:trPr>
        <w:tc>
          <w:tcPr>
            <w:tcW w:w="693" w:type="dxa"/>
            <w:vMerge w:val="continue"/>
            <w:vAlign w:val="center"/>
          </w:tcPr>
          <w:p>
            <w:pPr>
              <w:pStyle w:val="12"/>
              <w:spacing w:line="360" w:lineRule="exact"/>
              <w:rPr>
                <w:rFonts w:ascii="Times New Roman" w:hAnsi="Times New Roman" w:cs="Times New Roman"/>
                <w:b/>
                <w:bCs/>
                <w:color w:val="auto"/>
                <w:sz w:val="22"/>
                <w:szCs w:val="22"/>
              </w:rPr>
            </w:pPr>
          </w:p>
        </w:tc>
        <w:tc>
          <w:tcPr>
            <w:tcW w:w="673" w:type="dxa"/>
            <w:tcBorders>
              <w:bottom w:val="single" w:color="auto" w:sz="4" w:space="0"/>
            </w:tcBorders>
            <w:shd w:val="clear" w:color="auto" w:fill="auto"/>
            <w:vAlign w:val="center"/>
          </w:tcPr>
          <w:p>
            <w:pPr>
              <w:pStyle w:val="12"/>
              <w:spacing w:line="360" w:lineRule="exact"/>
              <w:ind w:firstLine="220" w:firstLineChars="100"/>
              <w:rPr>
                <w:rFonts w:ascii="Times New Roman" w:hAnsi="Times New Roman" w:cs="Times New Roman"/>
                <w:color w:val="auto"/>
                <w:sz w:val="22"/>
                <w:szCs w:val="22"/>
              </w:rPr>
            </w:pPr>
            <w:r>
              <w:rPr>
                <w:rFonts w:hint="eastAsia" w:ascii="Times New Roman" w:hAnsi="Times New Roman" w:cs="Times New Roman"/>
                <w:color w:val="auto"/>
                <w:sz w:val="22"/>
                <w:szCs w:val="22"/>
              </w:rPr>
              <w:t>23</w:t>
            </w:r>
          </w:p>
        </w:tc>
        <w:tc>
          <w:tcPr>
            <w:tcW w:w="4682" w:type="dxa"/>
            <w:tcBorders>
              <w:bottom w:val="single" w:color="auto" w:sz="4" w:space="0"/>
              <w:right w:val="single" w:color="auto" w:sz="4" w:space="0"/>
            </w:tcBorders>
            <w:shd w:val="clear" w:color="auto" w:fill="FFFFFF"/>
          </w:tcPr>
          <w:p>
            <w:pPr>
              <w:pStyle w:val="12"/>
              <w:spacing w:line="360" w:lineRule="exact"/>
              <w:ind w:firstLine="440" w:firstLineChars="200"/>
              <w:rPr>
                <w:rFonts w:hint="eastAsia" w:ascii="ˎ̥" w:hAnsi="ˎ̥" w:cs="Arial"/>
                <w:color w:val="auto"/>
                <w:sz w:val="22"/>
                <w:szCs w:val="22"/>
              </w:rPr>
            </w:pPr>
            <w:r>
              <w:rPr>
                <w:rFonts w:hint="eastAsia" w:ascii="ˎ̥" w:hAnsi="ˎ̥" w:cs="Arial"/>
                <w:color w:val="auto"/>
                <w:sz w:val="22"/>
                <w:szCs w:val="22"/>
              </w:rPr>
              <w:t>应当按照自身实际和医疗器械的特性选择合适的维护维修服务方式。</w:t>
            </w:r>
            <w:r>
              <w:rPr>
                <w:rFonts w:ascii="ˎ̥" w:hAnsi="ˎ̥" w:cs="Arial"/>
                <w:color w:val="auto"/>
                <w:sz w:val="22"/>
                <w:szCs w:val="22"/>
              </w:rPr>
              <w:t>可以按照合同的约定要求生产经营企业提供维护维修服务，也可以委托有条件和能力的维修服务机构，或者自行进行维护维修。</w:t>
            </w:r>
            <w:r>
              <w:rPr>
                <w:rFonts w:hint="eastAsia" w:ascii="ˎ̥" w:hAnsi="ˎ̥" w:cs="Arial"/>
                <w:color w:val="auto"/>
                <w:sz w:val="22"/>
                <w:szCs w:val="22"/>
              </w:rPr>
              <w:t>其中，</w:t>
            </w:r>
            <w:r>
              <w:rPr>
                <w:rFonts w:ascii="ˎ̥" w:hAnsi="ˎ̥" w:cs="Arial"/>
                <w:color w:val="auto"/>
                <w:sz w:val="22"/>
                <w:szCs w:val="22"/>
              </w:rPr>
              <w:t>由生产经营企业或者维修服务机构进行维护维修的，合同中</w:t>
            </w:r>
            <w:r>
              <w:rPr>
                <w:rFonts w:hint="eastAsia" w:ascii="ˎ̥" w:hAnsi="ˎ̥" w:cs="Arial"/>
                <w:color w:val="auto"/>
                <w:sz w:val="22"/>
                <w:szCs w:val="22"/>
              </w:rPr>
              <w:t>需</w:t>
            </w:r>
            <w:r>
              <w:rPr>
                <w:rFonts w:ascii="ˎ̥" w:hAnsi="ˎ̥" w:cs="Arial"/>
                <w:color w:val="auto"/>
                <w:sz w:val="22"/>
                <w:szCs w:val="22"/>
              </w:rPr>
              <w:t>约定明确的质量要求、维修要求等相关事项，医疗器械使用单位应当在每次维护维修后索取并保存相关记录；自行进行维护维修的，应当加强对从事医疗器械维护维修的技术人员的培训考核，并建立</w:t>
            </w:r>
            <w:r>
              <w:rPr>
                <w:rFonts w:hint="eastAsia" w:ascii="ˎ̥" w:hAnsi="ˎ̥" w:cs="Arial"/>
                <w:color w:val="auto"/>
                <w:sz w:val="22"/>
                <w:szCs w:val="22"/>
              </w:rPr>
              <w:t>维护维修</w:t>
            </w:r>
            <w:r>
              <w:rPr>
                <w:rFonts w:ascii="ˎ̥" w:hAnsi="ˎ̥" w:cs="Arial"/>
                <w:color w:val="auto"/>
                <w:sz w:val="22"/>
                <w:szCs w:val="22"/>
              </w:rPr>
              <w:t>档案。</w:t>
            </w:r>
          </w:p>
          <w:p>
            <w:pPr>
              <w:pStyle w:val="12"/>
              <w:spacing w:line="360" w:lineRule="exact"/>
              <w:ind w:firstLine="440" w:firstLineChars="200"/>
              <w:rPr>
                <w:rFonts w:ascii="Times New Roman" w:hAnsi="Times New Roman" w:eastAsia="黑体" w:cs="Times New Roman"/>
                <w:b/>
                <w:color w:val="auto"/>
                <w:sz w:val="22"/>
                <w:szCs w:val="22"/>
              </w:rPr>
            </w:pPr>
            <w:r>
              <w:rPr>
                <w:rFonts w:ascii="ˎ̥" w:hAnsi="ˎ̥" w:cs="Arial"/>
                <w:color w:val="auto"/>
                <w:sz w:val="22"/>
                <w:szCs w:val="22"/>
              </w:rPr>
              <w:t>发现使用的医疗器械存在安全隐患的，应当立即停止使用，通知检修；经检修仍不能达到使用安全标准的，不得继续使用，并按照有关规定处置。</w:t>
            </w:r>
            <w:r>
              <w:rPr>
                <w:rFonts w:hint="eastAsia" w:ascii="ˎ̥" w:hAnsi="ˎ̥" w:cs="Arial"/>
                <w:color w:val="auto"/>
                <w:sz w:val="22"/>
                <w:szCs w:val="22"/>
              </w:rPr>
              <w:t xml:space="preserve">   </w:t>
            </w:r>
          </w:p>
        </w:tc>
        <w:tc>
          <w:tcPr>
            <w:tcW w:w="4066" w:type="dxa"/>
            <w:tcBorders>
              <w:left w:val="single" w:color="auto" w:sz="4" w:space="0"/>
              <w:bottom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 xml:space="preserve"> 抽查部分设备维护维修合同、记录，确认是否按规定对医疗器械进行维护维修。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2552" w:hRule="atLeast"/>
        </w:trPr>
        <w:tc>
          <w:tcPr>
            <w:tcW w:w="693" w:type="dxa"/>
            <w:vMerge w:val="continue"/>
            <w:vAlign w:val="center"/>
          </w:tcPr>
          <w:p>
            <w:pPr>
              <w:pStyle w:val="12"/>
              <w:spacing w:line="360" w:lineRule="exact"/>
              <w:rPr>
                <w:rFonts w:ascii="Times New Roman" w:hAnsi="Times New Roman" w:cs="Times New Roman"/>
                <w:b/>
                <w:bCs/>
                <w:color w:val="auto"/>
                <w:sz w:val="22"/>
                <w:szCs w:val="22"/>
              </w:rPr>
            </w:pPr>
          </w:p>
        </w:tc>
        <w:tc>
          <w:tcPr>
            <w:tcW w:w="673" w:type="dxa"/>
            <w:tcBorders>
              <w:top w:val="single" w:color="auto" w:sz="4" w:space="0"/>
              <w:bottom w:val="single" w:color="auto" w:sz="4" w:space="0"/>
            </w:tcBorders>
            <w:shd w:val="clear" w:color="auto" w:fill="auto"/>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24</w:t>
            </w:r>
          </w:p>
        </w:tc>
        <w:tc>
          <w:tcPr>
            <w:tcW w:w="4682" w:type="dxa"/>
            <w:tcBorders>
              <w:top w:val="single" w:color="auto" w:sz="4" w:space="0"/>
              <w:bottom w:val="single" w:color="auto" w:sz="4" w:space="0"/>
              <w:right w:val="single" w:color="auto" w:sz="4" w:space="0"/>
            </w:tcBorders>
            <w:shd w:val="clear" w:color="auto" w:fill="FFFFFF"/>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ˎ̥" w:hAnsi="ˎ̥" w:cs="Arial"/>
                <w:color w:val="auto"/>
                <w:sz w:val="22"/>
                <w:szCs w:val="22"/>
              </w:rPr>
              <w:t>转让或捐赠在用医疗器械给其他单位的，应当确保所转让的医疗器械安全、有效，并提供产品合法证明文件。转让或捐赠双方应当签订协议，移交产品说明书、使用和维修记录档案复印件等资料，并经有资质的检验机构检验合格后方可转让或捐赠。接收其他单位转让或捐赠医疗器械的，应当按照购进医疗器械的规定进行查验，符合要求后方可使用。</w:t>
            </w:r>
          </w:p>
        </w:tc>
        <w:tc>
          <w:tcPr>
            <w:tcW w:w="4066" w:type="dxa"/>
            <w:tcBorders>
              <w:top w:val="single" w:color="auto" w:sz="4" w:space="0"/>
              <w:left w:val="single" w:color="auto" w:sz="4" w:space="0"/>
              <w:bottom w:val="single" w:color="auto" w:sz="4" w:space="0"/>
            </w:tcBorders>
            <w:shd w:val="clear" w:color="auto" w:fill="FFFFFF"/>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查看医疗器械转让或捐赠协议、转让或捐赠医疗器械档案和验收记录，确认转让或捐赠的医疗器械是否依法经注册或者备案、有无合格证明、是否存在过期、失效、淘汰的问题。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850" w:hRule="atLeast"/>
        </w:trPr>
        <w:tc>
          <w:tcPr>
            <w:tcW w:w="693" w:type="dxa"/>
            <w:vMerge w:val="restart"/>
            <w:vAlign w:val="center"/>
          </w:tcPr>
          <w:p>
            <w:pPr>
              <w:pStyle w:val="12"/>
              <w:spacing w:line="360" w:lineRule="exact"/>
              <w:jc w:val="center"/>
              <w:rPr>
                <w:rFonts w:ascii="Times New Roman" w:hAnsi="Times New Roman" w:cs="Times New Roman"/>
                <w:b/>
                <w:bCs/>
                <w:color w:val="auto"/>
                <w:sz w:val="22"/>
                <w:szCs w:val="22"/>
              </w:rPr>
            </w:pPr>
            <w:r>
              <w:rPr>
                <w:rFonts w:hint="eastAsia" w:ascii="Times New Roman" w:hAnsi="Times New Roman" w:cs="Times New Roman"/>
                <w:b/>
                <w:bCs/>
                <w:color w:val="auto"/>
                <w:sz w:val="22"/>
                <w:szCs w:val="22"/>
              </w:rPr>
              <w:t>不良事件监测与召回</w:t>
            </w:r>
          </w:p>
        </w:tc>
        <w:tc>
          <w:tcPr>
            <w:tcW w:w="673" w:type="dxa"/>
            <w:vAlign w:val="center"/>
          </w:tcPr>
          <w:p>
            <w:pPr>
              <w:pStyle w:val="12"/>
              <w:spacing w:line="360" w:lineRule="exact"/>
              <w:jc w:val="center"/>
              <w:rPr>
                <w:rFonts w:ascii="Times New Roman" w:hAnsi="Times New Roman" w:cs="Times New Roman"/>
                <w:color w:val="auto"/>
                <w:sz w:val="22"/>
                <w:szCs w:val="22"/>
              </w:rPr>
            </w:pPr>
            <w:r>
              <w:rPr>
                <w:rFonts w:hint="eastAsia" w:eastAsia="宋体"/>
                <w:color w:val="auto"/>
              </w:rPr>
              <w:t>※</w:t>
            </w:r>
            <w:r>
              <w:rPr>
                <w:rFonts w:hint="eastAsia" w:ascii="Times New Roman" w:hAnsi="Times New Roman" w:cs="Times New Roman"/>
                <w:color w:val="auto"/>
                <w:sz w:val="22"/>
                <w:szCs w:val="22"/>
              </w:rPr>
              <w:t>25</w:t>
            </w:r>
          </w:p>
        </w:tc>
        <w:tc>
          <w:tcPr>
            <w:tcW w:w="4682" w:type="dxa"/>
            <w:tcBorders>
              <w:right w:val="single" w:color="auto" w:sz="4" w:space="0"/>
            </w:tcBorders>
          </w:tcPr>
          <w:p>
            <w:pPr>
              <w:pStyle w:val="12"/>
              <w:spacing w:line="360" w:lineRule="exact"/>
              <w:ind w:firstLine="440" w:firstLineChars="200"/>
              <w:rPr>
                <w:rFonts w:ascii="Times New Roman" w:hAnsi="Times New Roman" w:eastAsia="黑体" w:cs="Times New Roman"/>
                <w:b/>
                <w:color w:val="auto"/>
                <w:sz w:val="22"/>
                <w:szCs w:val="22"/>
              </w:rPr>
            </w:pPr>
            <w:r>
              <w:rPr>
                <w:rFonts w:hint="eastAsia" w:ascii="ˎ̥" w:hAnsi="ˎ̥" w:cs="Arial"/>
                <w:color w:val="auto"/>
                <w:sz w:val="22"/>
                <w:szCs w:val="22"/>
              </w:rPr>
              <w:t>应当建立医疗器械不良事件监测工作制度，并将医疗器械不良事件监测纳入质量安全管理重点工作；配备与其使用规模相适应的机构或人员从事不良事件监测相关工作；</w:t>
            </w:r>
            <w:r>
              <w:rPr>
                <w:rFonts w:ascii="ˎ̥" w:hAnsi="ˎ̥" w:cs="Arial"/>
                <w:color w:val="auto"/>
                <w:sz w:val="22"/>
                <w:szCs w:val="22"/>
              </w:rPr>
              <w:t>发现所使用的医疗器械发生不良事件或者可疑不良事件的，应当按照医疗器械不良事件监测的有关规定报告并处理</w:t>
            </w:r>
            <w:r>
              <w:rPr>
                <w:rFonts w:hint="eastAsia" w:ascii="ˎ̥" w:hAnsi="ˎ̥" w:cs="Arial"/>
                <w:color w:val="auto"/>
                <w:sz w:val="22"/>
                <w:szCs w:val="22"/>
              </w:rPr>
              <w:t>，</w:t>
            </w:r>
            <w:r>
              <w:rPr>
                <w:rFonts w:ascii="Times New Roman" w:hAnsi="Times New Roman" w:cs="Times New Roman"/>
                <w:color w:val="auto"/>
                <w:sz w:val="22"/>
                <w:szCs w:val="22"/>
              </w:rPr>
              <w:t>对药品监督管理部门</w:t>
            </w:r>
            <w:r>
              <w:rPr>
                <w:rFonts w:hint="eastAsia" w:ascii="Times New Roman" w:hAnsi="Times New Roman" w:cs="Times New Roman"/>
                <w:color w:val="auto"/>
                <w:sz w:val="22"/>
                <w:szCs w:val="22"/>
              </w:rPr>
              <w:t>、</w:t>
            </w:r>
            <w:r>
              <w:rPr>
                <w:rFonts w:ascii="Times New Roman" w:hAnsi="Times New Roman" w:cs="Times New Roman"/>
                <w:color w:val="auto"/>
                <w:sz w:val="22"/>
                <w:szCs w:val="22"/>
              </w:rPr>
              <w:t>医疗器械不良事件监测机构开展的不良事件调查予以配合。</w:t>
            </w:r>
          </w:p>
        </w:tc>
        <w:tc>
          <w:tcPr>
            <w:tcW w:w="4066" w:type="dxa"/>
            <w:tcBorders>
              <w:left w:val="single" w:color="auto" w:sz="4" w:space="0"/>
            </w:tcBorders>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查看医疗器械不良事件监测工作制度，是否明确监测工作责任部门或人员；查看“国家医疗器械不良事件监测信息系统”中的注册信息和报告情况，确认使用单位是否按照国家有关规定开展医疗器械不良事件监测工作。可重点抽查医疗器械故障维修相关记录，判断是否有使用过程中发生的故障或伤害事件未上报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1364" w:hRule="atLeast"/>
        </w:trPr>
        <w:tc>
          <w:tcPr>
            <w:tcW w:w="693" w:type="dxa"/>
            <w:vMerge w:val="continue"/>
            <w:vAlign w:val="center"/>
          </w:tcPr>
          <w:p>
            <w:pPr>
              <w:pStyle w:val="12"/>
              <w:spacing w:line="360" w:lineRule="exact"/>
              <w:jc w:val="center"/>
              <w:rPr>
                <w:rFonts w:ascii="Times New Roman" w:hAnsi="Times New Roman" w:cs="Times New Roman"/>
                <w:color w:val="auto"/>
                <w:sz w:val="22"/>
                <w:szCs w:val="22"/>
              </w:rPr>
            </w:pPr>
          </w:p>
        </w:tc>
        <w:tc>
          <w:tcPr>
            <w:tcW w:w="673" w:type="dxa"/>
            <w:tcBorders>
              <w:bottom w:val="single" w:color="auto" w:sz="4" w:space="0"/>
            </w:tcBorders>
            <w:vAlign w:val="center"/>
          </w:tcPr>
          <w:p>
            <w:pPr>
              <w:pStyle w:val="12"/>
              <w:spacing w:line="360" w:lineRule="exact"/>
              <w:jc w:val="center"/>
              <w:rPr>
                <w:rFonts w:ascii="Times New Roman" w:hAnsi="Times New Roman" w:cs="Times New Roman"/>
                <w:color w:val="auto"/>
                <w:sz w:val="22"/>
                <w:szCs w:val="22"/>
              </w:rPr>
            </w:pPr>
            <w:r>
              <w:rPr>
                <w:rFonts w:hint="eastAsia" w:ascii="Times New Roman" w:hAnsi="Times New Roman" w:cs="Times New Roman"/>
                <w:color w:val="auto"/>
                <w:sz w:val="22"/>
                <w:szCs w:val="22"/>
              </w:rPr>
              <w:t>26</w:t>
            </w:r>
          </w:p>
        </w:tc>
        <w:tc>
          <w:tcPr>
            <w:tcW w:w="4682" w:type="dxa"/>
            <w:tcBorders>
              <w:bottom w:val="single" w:color="auto" w:sz="4" w:space="0"/>
              <w:right w:val="single" w:color="auto" w:sz="4" w:space="0"/>
            </w:tcBorders>
          </w:tcPr>
          <w:p>
            <w:pPr>
              <w:pStyle w:val="12"/>
              <w:spacing w:line="360" w:lineRule="exact"/>
              <w:ind w:firstLine="440" w:firstLineChars="200"/>
              <w:rPr>
                <w:rFonts w:ascii="Times New Roman" w:hAnsi="Times New Roman" w:eastAsia="黑体" w:cs="Times New Roman"/>
                <w:b/>
                <w:color w:val="auto"/>
                <w:sz w:val="22"/>
                <w:szCs w:val="22"/>
              </w:rPr>
            </w:pPr>
            <w:r>
              <w:rPr>
                <w:rFonts w:ascii="Times New Roman" w:hAnsi="Times New Roman" w:cs="Times New Roman"/>
                <w:color w:val="auto"/>
                <w:sz w:val="22"/>
                <w:szCs w:val="22"/>
              </w:rPr>
              <w:t>应当协助医疗器械生产企业履行召回义务，按照召回计划的要求及时传达、反馈医疗器械召回信息，控制和收回存在安全隐患的医疗器械，并建立医疗器械召回记录。</w:t>
            </w:r>
          </w:p>
        </w:tc>
        <w:tc>
          <w:tcPr>
            <w:tcW w:w="4066" w:type="dxa"/>
            <w:tcBorders>
              <w:left w:val="single" w:color="auto" w:sz="4" w:space="0"/>
              <w:bottom w:val="single" w:color="auto" w:sz="4" w:space="0"/>
            </w:tcBorders>
          </w:tcPr>
          <w:p>
            <w:pPr>
              <w:pStyle w:val="12"/>
              <w:spacing w:line="360" w:lineRule="exac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抽查召回记录，确认是否按规定实施。</w:t>
            </w:r>
          </w:p>
        </w:tc>
      </w:tr>
    </w:tbl>
    <w:p>
      <w:pPr>
        <w:adjustRightInd w:val="0"/>
        <w:snapToGrid w:val="0"/>
        <w:spacing w:line="600" w:lineRule="exact"/>
        <w:rPr>
          <w:rFonts w:ascii="黑体" w:hAnsi="黑体" w:eastAsia="黑体"/>
          <w:snapToGrid w:val="0"/>
          <w:spacing w:val="-18"/>
          <w:kern w:val="0"/>
          <w:sz w:val="32"/>
          <w:szCs w:val="32"/>
        </w:rPr>
      </w:pPr>
      <w:r>
        <w:rPr>
          <w:rFonts w:hint="eastAsia" w:ascii="仿宋" w:hAnsi="仿宋" w:eastAsia="仿宋" w:cs="仿宋"/>
          <w:b/>
          <w:bCs/>
          <w:color w:val="000000"/>
          <w:kern w:val="0"/>
          <w:sz w:val="30"/>
          <w:szCs w:val="30"/>
        </w:rPr>
        <w:t>现场检查判定原则：</w:t>
      </w:r>
      <w:r>
        <w:rPr>
          <w:rFonts w:hint="eastAsia" w:ascii="仿宋" w:hAnsi="仿宋" w:eastAsia="仿宋" w:cs="仿宋"/>
          <w:color w:val="000000"/>
          <w:kern w:val="0"/>
          <w:sz w:val="30"/>
          <w:szCs w:val="30"/>
        </w:rPr>
        <w:t>序号前带※的为重点项目，应重点检查。适用检查项目全部符合要求的为“通过检查”。适用检查项目有不符合要求的为“限期整改”，其中重点项目不符合要求的，应适当增加监管频次。对于涉及违反《医疗器械监督管理条例》和相关法律法规的，应当依法依规进行处理。</w:t>
      </w: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p>
      <w:pPr>
        <w:adjustRightInd w:val="0"/>
        <w:snapToGrid w:val="0"/>
        <w:spacing w:line="600" w:lineRule="exact"/>
        <w:rPr>
          <w:rFonts w:ascii="黑体" w:hAnsi="黑体" w:eastAsia="黑体"/>
          <w:snapToGrid w:val="0"/>
          <w:spacing w:val="-18"/>
          <w:kern w:val="0"/>
          <w:sz w:val="32"/>
          <w:szCs w:val="32"/>
        </w:rPr>
      </w:pPr>
    </w:p>
    <w:sectPr>
      <w:pgSz w:w="11906" w:h="16838"/>
      <w:pgMar w:top="1270" w:right="1800" w:bottom="127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8C7"/>
    <w:rsid w:val="00245DD4"/>
    <w:rsid w:val="00280E2E"/>
    <w:rsid w:val="00440705"/>
    <w:rsid w:val="004B627A"/>
    <w:rsid w:val="00524AB1"/>
    <w:rsid w:val="00547C12"/>
    <w:rsid w:val="00637A9E"/>
    <w:rsid w:val="00714382"/>
    <w:rsid w:val="00840006"/>
    <w:rsid w:val="00894269"/>
    <w:rsid w:val="008F7F31"/>
    <w:rsid w:val="00A435C5"/>
    <w:rsid w:val="00B459D4"/>
    <w:rsid w:val="00BF59EB"/>
    <w:rsid w:val="00C25F81"/>
    <w:rsid w:val="00C337FB"/>
    <w:rsid w:val="00F538C7"/>
    <w:rsid w:val="09844298"/>
    <w:rsid w:val="09916AA1"/>
    <w:rsid w:val="0A095552"/>
    <w:rsid w:val="0A3611E3"/>
    <w:rsid w:val="0A882D8E"/>
    <w:rsid w:val="0ABB340F"/>
    <w:rsid w:val="0D0463F7"/>
    <w:rsid w:val="0D2B7E5A"/>
    <w:rsid w:val="0DB1578A"/>
    <w:rsid w:val="108D3D13"/>
    <w:rsid w:val="11305104"/>
    <w:rsid w:val="116E05D9"/>
    <w:rsid w:val="11A553FA"/>
    <w:rsid w:val="1439691F"/>
    <w:rsid w:val="150A287B"/>
    <w:rsid w:val="16435206"/>
    <w:rsid w:val="176869D0"/>
    <w:rsid w:val="18D01EF2"/>
    <w:rsid w:val="18F05B78"/>
    <w:rsid w:val="19377F2C"/>
    <w:rsid w:val="19666E02"/>
    <w:rsid w:val="19935FDF"/>
    <w:rsid w:val="19AB3A67"/>
    <w:rsid w:val="1BAC2C6D"/>
    <w:rsid w:val="1C071C23"/>
    <w:rsid w:val="1CA20261"/>
    <w:rsid w:val="1E886A8C"/>
    <w:rsid w:val="1EAE270E"/>
    <w:rsid w:val="20510DAE"/>
    <w:rsid w:val="209C6197"/>
    <w:rsid w:val="239E1DB7"/>
    <w:rsid w:val="24875DA8"/>
    <w:rsid w:val="252821E8"/>
    <w:rsid w:val="26667FFF"/>
    <w:rsid w:val="28C9532A"/>
    <w:rsid w:val="2924757C"/>
    <w:rsid w:val="2A0E7317"/>
    <w:rsid w:val="2B4456C3"/>
    <w:rsid w:val="2B736D16"/>
    <w:rsid w:val="2D781FD2"/>
    <w:rsid w:val="2D8943E6"/>
    <w:rsid w:val="2E143738"/>
    <w:rsid w:val="2E1E58EF"/>
    <w:rsid w:val="2E600B74"/>
    <w:rsid w:val="2EE10A13"/>
    <w:rsid w:val="2EE635F2"/>
    <w:rsid w:val="31743E57"/>
    <w:rsid w:val="31F84F95"/>
    <w:rsid w:val="32166D09"/>
    <w:rsid w:val="32C90D08"/>
    <w:rsid w:val="36823E36"/>
    <w:rsid w:val="36A87CFC"/>
    <w:rsid w:val="374C3BB7"/>
    <w:rsid w:val="39CB16BA"/>
    <w:rsid w:val="3D031FE0"/>
    <w:rsid w:val="3D4A475C"/>
    <w:rsid w:val="3D6D33E5"/>
    <w:rsid w:val="3E251EEA"/>
    <w:rsid w:val="3EA33051"/>
    <w:rsid w:val="3FE4316A"/>
    <w:rsid w:val="405726F9"/>
    <w:rsid w:val="436C1E7D"/>
    <w:rsid w:val="45CD087A"/>
    <w:rsid w:val="46104B22"/>
    <w:rsid w:val="472E0A86"/>
    <w:rsid w:val="47C432C8"/>
    <w:rsid w:val="4B965EC2"/>
    <w:rsid w:val="4CEB6DB6"/>
    <w:rsid w:val="52857020"/>
    <w:rsid w:val="54B4337B"/>
    <w:rsid w:val="594906D4"/>
    <w:rsid w:val="5A5528BD"/>
    <w:rsid w:val="5A7228D4"/>
    <w:rsid w:val="5A9D43ED"/>
    <w:rsid w:val="5D174691"/>
    <w:rsid w:val="5ED716B1"/>
    <w:rsid w:val="60DC16C4"/>
    <w:rsid w:val="611F04D4"/>
    <w:rsid w:val="62F5615A"/>
    <w:rsid w:val="63577142"/>
    <w:rsid w:val="63BE557A"/>
    <w:rsid w:val="66A3213B"/>
    <w:rsid w:val="66FC5E88"/>
    <w:rsid w:val="678B13BA"/>
    <w:rsid w:val="68347A90"/>
    <w:rsid w:val="692B05DD"/>
    <w:rsid w:val="6AE70375"/>
    <w:rsid w:val="6B24378B"/>
    <w:rsid w:val="6BC14EE0"/>
    <w:rsid w:val="6EB25273"/>
    <w:rsid w:val="6F8155F1"/>
    <w:rsid w:val="6FD85663"/>
    <w:rsid w:val="701D418A"/>
    <w:rsid w:val="704F081C"/>
    <w:rsid w:val="70DD3DD7"/>
    <w:rsid w:val="7155723B"/>
    <w:rsid w:val="718756CA"/>
    <w:rsid w:val="71E0713F"/>
    <w:rsid w:val="71F66BD9"/>
    <w:rsid w:val="721D38DB"/>
    <w:rsid w:val="72505F0C"/>
    <w:rsid w:val="73071F9B"/>
    <w:rsid w:val="757D4E41"/>
    <w:rsid w:val="760146E5"/>
    <w:rsid w:val="76CB5614"/>
    <w:rsid w:val="76F11081"/>
    <w:rsid w:val="7A2E1822"/>
    <w:rsid w:val="7A314220"/>
    <w:rsid w:val="7A846D6C"/>
    <w:rsid w:val="7BD60EF1"/>
    <w:rsid w:val="7ECF52A5"/>
    <w:rsid w:val="7F6A1557"/>
    <w:rsid w:val="7FA52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unhideWhenUsed/>
    <w:qFormat/>
    <w:uiPriority w:val="9"/>
    <w:pPr>
      <w:keepNext w:val="0"/>
      <w:keepLines w:val="0"/>
      <w:spacing w:line="560" w:lineRule="exact"/>
      <w:ind w:firstLine="640" w:firstLineChars="200"/>
      <w:jc w:val="both"/>
      <w:outlineLvl w:val="1"/>
    </w:pPr>
    <w:rPr>
      <w:rFonts w:eastAsia="方正黑体_GBK" w:asciiTheme="minorAscii" w:hAnsiTheme="minorAscii" w:cstheme="minorBidi"/>
      <w:sz w:val="32"/>
      <w:szCs w:val="24"/>
    </w:rPr>
  </w:style>
  <w:style w:type="character" w:default="1" w:styleId="7">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7"/>
    <w:link w:val="6"/>
    <w:qFormat/>
    <w:uiPriority w:val="99"/>
    <w:rPr>
      <w:sz w:val="18"/>
      <w:szCs w:val="18"/>
    </w:rPr>
  </w:style>
  <w:style w:type="character" w:customStyle="1" w:styleId="10">
    <w:name w:val="页脚 Char"/>
    <w:basedOn w:val="7"/>
    <w:link w:val="5"/>
    <w:qFormat/>
    <w:uiPriority w:val="99"/>
    <w:rPr>
      <w:sz w:val="18"/>
      <w:szCs w:val="18"/>
    </w:rPr>
  </w:style>
  <w:style w:type="character" w:customStyle="1" w:styleId="11">
    <w:name w:val="批注框文本 Char"/>
    <w:basedOn w:val="7"/>
    <w:link w:val="4"/>
    <w:semiHidden/>
    <w:qFormat/>
    <w:uiPriority w:val="99"/>
    <w:rPr>
      <w:sz w:val="18"/>
      <w:szCs w:val="18"/>
    </w:rPr>
  </w:style>
  <w:style w:type="paragraph" w:customStyle="1" w:styleId="12">
    <w:name w:val="gb5号正"/>
    <w:basedOn w:val="1"/>
    <w:qFormat/>
    <w:uiPriority w:val="0"/>
    <w:pPr>
      <w:widowControl/>
      <w:textAlignment w:val="top"/>
    </w:pPr>
    <w:rPr>
      <w:rFonts w:ascii="宋体" w:hAnsi="宋体" w:eastAsia="仿宋_GB2312" w:cs="宋体"/>
      <w:color w:val="000000"/>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867</Words>
  <Characters>4947</Characters>
  <Lines>41</Lines>
  <Paragraphs>11</Paragraphs>
  <TotalTime>0</TotalTime>
  <ScaleCrop>false</ScaleCrop>
  <LinksUpToDate>false</LinksUpToDate>
  <CharactersWithSpaces>5803</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2016-05-16T09:37:00Z</dcterms:created>
  <dc:creator>詹檐【医疗器械监管处】</dc:creator>
  <cp:lastModifiedBy>沙磊【办公室】</cp:lastModifiedBy>
  <cp:lastPrinted>2019-10-11T02:42:00Z</cp:lastPrinted>
  <dcterms:modified xsi:type="dcterms:W3CDTF">2019-11-28T12:23:51Z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